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39B26" w14:textId="77777777" w:rsidR="00792164" w:rsidRPr="005340A6" w:rsidRDefault="00792164" w:rsidP="00792164">
      <w:pPr>
        <w:pBdr>
          <w:top w:val="single" w:sz="4" w:space="1" w:color="auto"/>
          <w:left w:val="single" w:sz="4" w:space="4" w:color="auto"/>
          <w:bottom w:val="single" w:sz="4" w:space="1" w:color="auto"/>
          <w:right w:val="single" w:sz="4" w:space="4" w:color="auto"/>
        </w:pBdr>
        <w:ind w:firstLineChars="0" w:firstLine="0"/>
        <w:rPr>
          <w:rFonts w:eastAsiaTheme="majorEastAsia" w:cs="Times New Roman"/>
          <w:b/>
          <w:i/>
          <w:snapToGrid w:val="0"/>
          <w:szCs w:val="24"/>
          <w:lang w:val="en-GB"/>
        </w:rPr>
      </w:pPr>
      <w:bookmarkStart w:id="0" w:name="_Hlk59445539"/>
      <w:bookmarkStart w:id="1" w:name="_Toc12377919"/>
      <w:r w:rsidRPr="005340A6">
        <w:rPr>
          <w:rFonts w:eastAsiaTheme="majorEastAsia" w:cs="Times New Roman"/>
          <w:b/>
          <w:i/>
          <w:snapToGrid w:val="0"/>
          <w:szCs w:val="24"/>
          <w:lang w:val="en-GB"/>
        </w:rPr>
        <w:t>Post-print Manuscript (final peer-reviewed authors’ version)</w:t>
      </w:r>
    </w:p>
    <w:p w14:paraId="59B3C6B6" w14:textId="58365DE4" w:rsidR="00792164" w:rsidRPr="00792164" w:rsidRDefault="00926C80" w:rsidP="00792164">
      <w:pPr>
        <w:pBdr>
          <w:top w:val="single" w:sz="4" w:space="1" w:color="auto"/>
          <w:left w:val="single" w:sz="4" w:space="4" w:color="auto"/>
          <w:bottom w:val="single" w:sz="4" w:space="1" w:color="auto"/>
          <w:right w:val="single" w:sz="4" w:space="4" w:color="auto"/>
        </w:pBdr>
        <w:shd w:val="clear" w:color="auto" w:fill="FFFFFF"/>
        <w:ind w:firstLineChars="0" w:firstLine="0"/>
        <w:rPr>
          <w:rFonts w:ascii="Calibri" w:hAnsi="Calibri" w:cs="Calibri"/>
          <w:i/>
          <w:sz w:val="22"/>
          <w:lang w:val="en-GB"/>
        </w:rPr>
      </w:pPr>
      <w:hyperlink r:id="rId8" w:history="1">
        <w:r w:rsidR="00792164" w:rsidRPr="00792164">
          <w:rPr>
            <w:rStyle w:val="Hyperlink"/>
            <w:rFonts w:ascii="Calibri" w:hAnsi="Calibri" w:cs="Calibri"/>
            <w:i/>
            <w:sz w:val="22"/>
            <w:lang w:val="en-GB"/>
          </w:rPr>
          <w:t>https://doi.org/10.1002/agr.21861</w:t>
        </w:r>
      </w:hyperlink>
    </w:p>
    <w:p w14:paraId="60DB2003" w14:textId="77777777" w:rsidR="00792164" w:rsidRPr="005340A6" w:rsidRDefault="00792164" w:rsidP="00792164">
      <w:pPr>
        <w:pBdr>
          <w:top w:val="single" w:sz="4" w:space="1" w:color="auto"/>
          <w:left w:val="single" w:sz="4" w:space="4" w:color="auto"/>
          <w:bottom w:val="single" w:sz="4" w:space="1" w:color="auto"/>
          <w:right w:val="single" w:sz="4" w:space="4" w:color="auto"/>
        </w:pBdr>
        <w:shd w:val="clear" w:color="auto" w:fill="FFFFFF"/>
        <w:ind w:firstLineChars="0" w:firstLine="0"/>
        <w:rPr>
          <w:rFonts w:ascii="Helvetica" w:hAnsi="Helvetica"/>
          <w:i/>
          <w:color w:val="000000"/>
          <w:sz w:val="18"/>
          <w:szCs w:val="18"/>
        </w:rPr>
      </w:pPr>
      <w:r w:rsidRPr="00FB2E97">
        <w:rPr>
          <w:rFonts w:ascii="Helvetica" w:hAnsi="Helvetica"/>
          <w:i/>
          <w:color w:val="000000"/>
          <w:sz w:val="18"/>
          <w:szCs w:val="18"/>
        </w:rPr>
        <w:t>Agribusiness</w:t>
      </w:r>
      <w:r w:rsidRPr="005340A6">
        <w:rPr>
          <w:rFonts w:ascii="Helvetica" w:hAnsi="Helvetica"/>
          <w:i/>
          <w:color w:val="000000"/>
          <w:sz w:val="18"/>
          <w:szCs w:val="18"/>
        </w:rPr>
        <w:t xml:space="preserve">: 0 (0)- Pages: 1 - </w:t>
      </w:r>
      <w:r>
        <w:rPr>
          <w:rFonts w:ascii="Helvetica" w:hAnsi="Helvetica"/>
          <w:i/>
          <w:color w:val="000000"/>
          <w:sz w:val="18"/>
          <w:szCs w:val="18"/>
        </w:rPr>
        <w:t>21</w:t>
      </w:r>
    </w:p>
    <w:p w14:paraId="51680282" w14:textId="6E3ADCED" w:rsidR="00792164" w:rsidRPr="005340A6" w:rsidRDefault="00792164" w:rsidP="00792164">
      <w:pPr>
        <w:pBdr>
          <w:top w:val="single" w:sz="4" w:space="1" w:color="auto"/>
          <w:left w:val="single" w:sz="4" w:space="4" w:color="auto"/>
          <w:bottom w:val="single" w:sz="4" w:space="1" w:color="auto"/>
          <w:right w:val="single" w:sz="4" w:space="4" w:color="auto"/>
        </w:pBdr>
        <w:shd w:val="clear" w:color="auto" w:fill="FFFFFF"/>
        <w:ind w:firstLineChars="0" w:firstLine="0"/>
        <w:rPr>
          <w:rFonts w:ascii="Helvetica" w:hAnsi="Helvetica"/>
          <w:i/>
          <w:color w:val="000000"/>
          <w:sz w:val="18"/>
          <w:szCs w:val="18"/>
        </w:rPr>
      </w:pPr>
      <w:r w:rsidRPr="005340A6">
        <w:rPr>
          <w:rFonts w:ascii="Helvetica" w:hAnsi="Helvetica"/>
          <w:i/>
          <w:color w:val="000000"/>
          <w:sz w:val="18"/>
          <w:szCs w:val="18"/>
        </w:rPr>
        <w:t xml:space="preserve">Published Online: </w:t>
      </w:r>
      <w:r w:rsidR="00FF03A0">
        <w:rPr>
          <w:rFonts w:ascii="Helvetica" w:hAnsi="Helvetica"/>
          <w:i/>
          <w:color w:val="000000"/>
          <w:sz w:val="18"/>
          <w:szCs w:val="18"/>
        </w:rPr>
        <w:t>October 12</w:t>
      </w:r>
      <w:r w:rsidRPr="005340A6">
        <w:rPr>
          <w:rFonts w:ascii="Helvetica" w:hAnsi="Helvetica"/>
          <w:i/>
          <w:color w:val="000000"/>
          <w:sz w:val="18"/>
          <w:szCs w:val="18"/>
        </w:rPr>
        <w:t>, 202</w:t>
      </w:r>
      <w:r w:rsidR="00FF03A0">
        <w:rPr>
          <w:rFonts w:ascii="Helvetica" w:hAnsi="Helvetica"/>
          <w:i/>
          <w:color w:val="000000"/>
          <w:sz w:val="18"/>
          <w:szCs w:val="18"/>
        </w:rPr>
        <w:t>3</w:t>
      </w:r>
    </w:p>
    <w:p w14:paraId="1E3512E4" w14:textId="6A7E84BE" w:rsidR="00792164" w:rsidRPr="00792164" w:rsidRDefault="00792164" w:rsidP="00792164">
      <w:pPr>
        <w:pStyle w:val="Heading1"/>
        <w:ind w:firstLineChars="0" w:firstLine="0"/>
        <w:rPr>
          <w:rFonts w:eastAsiaTheme="minorEastAsia" w:cs="Times New Roman"/>
          <w:b w:val="0"/>
          <w:snapToGrid w:val="0"/>
          <w:szCs w:val="24"/>
          <w:lang w:val="en-GB"/>
        </w:rPr>
      </w:pPr>
    </w:p>
    <w:bookmarkEnd w:id="0"/>
    <w:p w14:paraId="75226A40" w14:textId="77777777" w:rsidR="00792164" w:rsidRDefault="00792164" w:rsidP="00792164">
      <w:pPr>
        <w:pStyle w:val="NoSpacing"/>
        <w:rPr>
          <w:rFonts w:ascii="Times New Roman" w:eastAsiaTheme="majorEastAsia" w:hAnsi="Times New Roman" w:cs="Times New Roman"/>
          <w:b/>
          <w:snapToGrid w:val="0"/>
          <w:sz w:val="24"/>
          <w:szCs w:val="24"/>
          <w:lang w:val="en-GB"/>
        </w:rPr>
      </w:pPr>
      <w:r w:rsidRPr="00FB2E97">
        <w:rPr>
          <w:rFonts w:ascii="Times New Roman" w:eastAsiaTheme="majorEastAsia" w:hAnsi="Times New Roman" w:cs="Times New Roman"/>
          <w:b/>
          <w:snapToGrid w:val="0"/>
          <w:sz w:val="24"/>
          <w:szCs w:val="24"/>
          <w:lang w:val="en-GB"/>
        </w:rPr>
        <w:t>Cost-effectiveness of zinc interventions in China: a cohort-based Markov model</w:t>
      </w:r>
    </w:p>
    <w:p w14:paraId="445306A5" w14:textId="77777777" w:rsidR="00792164" w:rsidRPr="008F5789" w:rsidRDefault="00792164" w:rsidP="00792164">
      <w:pPr>
        <w:pStyle w:val="NoSpacing"/>
        <w:ind w:firstLine="480"/>
        <w:rPr>
          <w:rFonts w:ascii="Times New Roman" w:hAnsi="Times New Roman" w:cs="Times New Roman"/>
          <w:sz w:val="24"/>
          <w:szCs w:val="24"/>
          <w:lang w:val="en-GB" w:eastAsia="de-DE" w:bidi="en-US"/>
        </w:rPr>
      </w:pPr>
    </w:p>
    <w:p w14:paraId="4032C946" w14:textId="77777777" w:rsidR="00792164" w:rsidRDefault="00792164" w:rsidP="00792164">
      <w:pPr>
        <w:pStyle w:val="MDPI14history"/>
        <w:spacing w:before="0" w:line="240" w:lineRule="auto"/>
        <w:rPr>
          <w:rFonts w:ascii="Times New Roman" w:hAnsi="Times New Roman"/>
          <w:sz w:val="24"/>
          <w:szCs w:val="24"/>
          <w:lang w:val="es-ES"/>
        </w:rPr>
      </w:pPr>
      <w:r w:rsidRPr="00FB2E97">
        <w:rPr>
          <w:rFonts w:ascii="Times New Roman" w:hAnsi="Times New Roman"/>
          <w:sz w:val="24"/>
          <w:szCs w:val="24"/>
          <w:lang w:val="es-ES"/>
        </w:rPr>
        <w:t>Fuli Tan</w:t>
      </w:r>
      <w:r w:rsidRPr="00FB2E97">
        <w:rPr>
          <w:rFonts w:ascii="Times New Roman" w:hAnsi="Times New Roman"/>
          <w:sz w:val="24"/>
          <w:szCs w:val="24"/>
          <w:vertAlign w:val="superscript"/>
          <w:lang w:val="es-ES"/>
        </w:rPr>
        <w:t>1</w:t>
      </w:r>
      <w:r w:rsidRPr="00FB2E97">
        <w:rPr>
          <w:rFonts w:ascii="Times New Roman" w:hAnsi="Times New Roman"/>
          <w:sz w:val="24"/>
          <w:szCs w:val="24"/>
          <w:lang w:val="es-ES"/>
        </w:rPr>
        <w:t>, Jingjing Wang</w:t>
      </w:r>
      <w:r w:rsidRPr="00FB2E97">
        <w:rPr>
          <w:rFonts w:ascii="Times New Roman" w:hAnsi="Times New Roman"/>
          <w:sz w:val="24"/>
          <w:szCs w:val="24"/>
          <w:vertAlign w:val="superscript"/>
          <w:lang w:val="es-ES"/>
        </w:rPr>
        <w:t>2</w:t>
      </w:r>
      <w:r w:rsidRPr="00FB2E97">
        <w:rPr>
          <w:rFonts w:ascii="Times New Roman" w:hAnsi="Times New Roman"/>
          <w:sz w:val="24"/>
          <w:szCs w:val="24"/>
          <w:lang w:val="es-ES"/>
        </w:rPr>
        <w:t>, Yixuan Guo</w:t>
      </w:r>
      <w:r w:rsidRPr="00FB2E97">
        <w:rPr>
          <w:rFonts w:ascii="Times New Roman" w:hAnsi="Times New Roman"/>
          <w:sz w:val="24"/>
          <w:szCs w:val="24"/>
          <w:vertAlign w:val="superscript"/>
          <w:lang w:val="es-ES"/>
        </w:rPr>
        <w:t>3</w:t>
      </w:r>
      <w:r w:rsidRPr="00FB2E97">
        <w:rPr>
          <w:rFonts w:ascii="Times New Roman" w:hAnsi="Times New Roman"/>
          <w:sz w:val="24"/>
          <w:szCs w:val="24"/>
          <w:lang w:val="es-ES"/>
        </w:rPr>
        <w:t>, Taian Deng</w:t>
      </w:r>
      <w:r w:rsidRPr="00FB2E97">
        <w:rPr>
          <w:rFonts w:ascii="Times New Roman" w:hAnsi="Times New Roman"/>
          <w:sz w:val="24"/>
          <w:szCs w:val="24"/>
          <w:vertAlign w:val="superscript"/>
          <w:lang w:val="es-ES"/>
        </w:rPr>
        <w:t>1,4</w:t>
      </w:r>
      <w:r w:rsidRPr="00FB2E97">
        <w:rPr>
          <w:rFonts w:ascii="Times New Roman" w:hAnsi="Times New Roman"/>
          <w:sz w:val="24"/>
          <w:szCs w:val="24"/>
          <w:lang w:val="es-ES"/>
        </w:rPr>
        <w:t>, Hans De Steur</w:t>
      </w:r>
      <w:r w:rsidRPr="00FB2E97">
        <w:rPr>
          <w:rFonts w:ascii="Times New Roman" w:hAnsi="Times New Roman"/>
          <w:sz w:val="24"/>
          <w:szCs w:val="24"/>
          <w:vertAlign w:val="superscript"/>
          <w:lang w:val="es-ES"/>
        </w:rPr>
        <w:t>3</w:t>
      </w:r>
      <w:r w:rsidRPr="00FB2E97">
        <w:rPr>
          <w:rFonts w:ascii="Times New Roman" w:hAnsi="Times New Roman"/>
          <w:sz w:val="24"/>
          <w:szCs w:val="24"/>
          <w:lang w:val="es-ES"/>
        </w:rPr>
        <w:t xml:space="preserve"> and Shenggen Fan</w:t>
      </w:r>
      <w:r w:rsidRPr="00FB2E97">
        <w:rPr>
          <w:rFonts w:ascii="Times New Roman" w:hAnsi="Times New Roman"/>
          <w:sz w:val="24"/>
          <w:szCs w:val="24"/>
          <w:vertAlign w:val="superscript"/>
          <w:lang w:val="es-ES"/>
        </w:rPr>
        <w:t>2</w:t>
      </w:r>
    </w:p>
    <w:p w14:paraId="77605A64" w14:textId="77777777" w:rsidR="00792164" w:rsidRPr="00FB2E97" w:rsidRDefault="00792164" w:rsidP="00792164">
      <w:pPr>
        <w:ind w:firstLine="480"/>
        <w:rPr>
          <w:lang w:val="es-ES" w:eastAsia="de-DE" w:bidi="en-US"/>
        </w:rPr>
      </w:pPr>
    </w:p>
    <w:p w14:paraId="4678B7F9" w14:textId="77777777" w:rsidR="00792164" w:rsidRPr="00FB2E97" w:rsidRDefault="00792164" w:rsidP="00792164">
      <w:pPr>
        <w:pStyle w:val="MDPI16affiliation"/>
        <w:spacing w:line="240" w:lineRule="auto"/>
        <w:ind w:left="142" w:firstLine="0"/>
        <w:rPr>
          <w:rFonts w:ascii="Times New Roman" w:hAnsi="Times New Roman"/>
          <w:sz w:val="24"/>
          <w:szCs w:val="24"/>
          <w:lang w:val="en-GB"/>
        </w:rPr>
      </w:pPr>
      <w:r w:rsidRPr="00FB2E97">
        <w:rPr>
          <w:rFonts w:ascii="Times New Roman" w:hAnsi="Times New Roman"/>
          <w:sz w:val="24"/>
          <w:szCs w:val="24"/>
          <w:vertAlign w:val="superscript"/>
          <w:lang w:val="en-GB"/>
        </w:rPr>
        <w:t>1</w:t>
      </w:r>
      <w:r w:rsidRPr="00FB2E97">
        <w:rPr>
          <w:rFonts w:ascii="Times New Roman" w:hAnsi="Times New Roman"/>
          <w:sz w:val="24"/>
          <w:szCs w:val="24"/>
          <w:lang w:val="en-GB"/>
        </w:rPr>
        <w:t>College of Economics and Management, China Agricultural University, Beijing, China</w:t>
      </w:r>
    </w:p>
    <w:p w14:paraId="203698DC" w14:textId="77777777" w:rsidR="00792164" w:rsidRPr="00FB2E97" w:rsidRDefault="00792164" w:rsidP="00792164">
      <w:pPr>
        <w:pStyle w:val="MDPI16affiliation"/>
        <w:spacing w:line="240" w:lineRule="auto"/>
        <w:ind w:left="142" w:firstLine="0"/>
        <w:rPr>
          <w:rFonts w:ascii="Times New Roman" w:hAnsi="Times New Roman"/>
          <w:sz w:val="24"/>
          <w:szCs w:val="24"/>
          <w:vertAlign w:val="superscript"/>
          <w:lang w:val="en-GB"/>
        </w:rPr>
      </w:pPr>
      <w:r w:rsidRPr="00FB2E97">
        <w:rPr>
          <w:rFonts w:ascii="Times New Roman" w:hAnsi="Times New Roman"/>
          <w:sz w:val="24"/>
          <w:szCs w:val="24"/>
          <w:vertAlign w:val="superscript"/>
          <w:lang w:val="en-GB"/>
        </w:rPr>
        <w:t>2</w:t>
      </w:r>
      <w:r w:rsidRPr="00FB2E97">
        <w:rPr>
          <w:rFonts w:ascii="Times New Roman" w:hAnsi="Times New Roman"/>
          <w:sz w:val="24"/>
          <w:szCs w:val="24"/>
          <w:lang w:val="en-GB"/>
        </w:rPr>
        <w:t>Academy of Global Food Economics and Policy, China Agricultural University, Beijing, China</w:t>
      </w:r>
    </w:p>
    <w:p w14:paraId="6992FBBF" w14:textId="77777777" w:rsidR="00792164" w:rsidRPr="00FB2E97" w:rsidRDefault="00792164" w:rsidP="00792164">
      <w:pPr>
        <w:pStyle w:val="MDPI16affiliation"/>
        <w:spacing w:line="240" w:lineRule="auto"/>
        <w:rPr>
          <w:rFonts w:ascii="Times New Roman" w:hAnsi="Times New Roman"/>
          <w:sz w:val="24"/>
          <w:szCs w:val="24"/>
          <w:vertAlign w:val="superscript"/>
          <w:lang w:val="en-GB"/>
        </w:rPr>
      </w:pPr>
      <w:r w:rsidRPr="00FB2E97">
        <w:rPr>
          <w:rFonts w:ascii="Times New Roman" w:hAnsi="Times New Roman"/>
          <w:sz w:val="24"/>
          <w:szCs w:val="24"/>
          <w:vertAlign w:val="superscript"/>
          <w:lang w:val="en-GB"/>
        </w:rPr>
        <w:t>3</w:t>
      </w:r>
      <w:r w:rsidRPr="00FB2E97">
        <w:rPr>
          <w:rFonts w:ascii="Times New Roman" w:hAnsi="Times New Roman"/>
          <w:sz w:val="24"/>
          <w:szCs w:val="24"/>
          <w:lang w:val="en-GB"/>
        </w:rPr>
        <w:t>Department of Agricultural Economics, Ghent University, Ghent, Belgium</w:t>
      </w:r>
    </w:p>
    <w:p w14:paraId="46D0C7B2" w14:textId="77777777" w:rsidR="00792164" w:rsidRDefault="00792164" w:rsidP="00792164">
      <w:pPr>
        <w:pStyle w:val="MDPI16affiliation"/>
        <w:spacing w:line="240" w:lineRule="auto"/>
        <w:ind w:left="142" w:firstLine="0"/>
        <w:rPr>
          <w:rFonts w:ascii="Times New Roman" w:hAnsi="Times New Roman"/>
          <w:sz w:val="24"/>
          <w:szCs w:val="24"/>
          <w:vertAlign w:val="superscript"/>
          <w:lang w:val="en-GB"/>
        </w:rPr>
      </w:pPr>
      <w:r w:rsidRPr="00FB2E97">
        <w:rPr>
          <w:rFonts w:ascii="Times New Roman" w:hAnsi="Times New Roman"/>
          <w:sz w:val="24"/>
          <w:szCs w:val="24"/>
          <w:vertAlign w:val="superscript"/>
          <w:lang w:val="en-GB"/>
        </w:rPr>
        <w:t>4</w:t>
      </w:r>
      <w:r w:rsidRPr="00FB2E97">
        <w:rPr>
          <w:rFonts w:ascii="Times New Roman" w:hAnsi="Times New Roman"/>
          <w:sz w:val="24"/>
          <w:szCs w:val="24"/>
          <w:lang w:val="en-GB"/>
        </w:rPr>
        <w:t>Development Economics Group, Wageningen University and Research, Wageningen, The Netherlands</w:t>
      </w:r>
    </w:p>
    <w:p w14:paraId="5289D46D" w14:textId="77777777" w:rsidR="00792164" w:rsidRPr="008F5789" w:rsidRDefault="00792164" w:rsidP="00792164">
      <w:pPr>
        <w:pStyle w:val="MDPI16affiliation"/>
        <w:spacing w:line="240" w:lineRule="auto"/>
        <w:ind w:left="142" w:firstLine="480"/>
        <w:rPr>
          <w:rStyle w:val="Hyperlink"/>
          <w:rFonts w:ascii="Times New Roman" w:hAnsi="Times New Roman"/>
          <w:sz w:val="24"/>
          <w:szCs w:val="24"/>
          <w:lang w:val="en-GB"/>
        </w:rPr>
      </w:pPr>
    </w:p>
    <w:p w14:paraId="0CA72E7F" w14:textId="77777777" w:rsidR="00792164" w:rsidRDefault="00792164" w:rsidP="00792164">
      <w:pPr>
        <w:pStyle w:val="MDPI16affiliation"/>
        <w:spacing w:line="240" w:lineRule="auto"/>
        <w:rPr>
          <w:rStyle w:val="Hyperlink"/>
          <w:rFonts w:ascii="Times New Roman" w:hAnsi="Times New Roman"/>
          <w:color w:val="auto"/>
          <w:sz w:val="24"/>
          <w:szCs w:val="24"/>
          <w:lang w:val="en-GB"/>
        </w:rPr>
      </w:pPr>
      <w:r w:rsidRPr="00792164">
        <w:rPr>
          <w:rStyle w:val="Hyperlink"/>
          <w:rFonts w:ascii="Times New Roman" w:hAnsi="Times New Roman"/>
          <w:color w:val="auto"/>
          <w:sz w:val="24"/>
          <w:szCs w:val="24"/>
          <w:u w:val="none"/>
          <w:lang w:val="en-GB"/>
        </w:rPr>
        <w:t xml:space="preserve">Corresponding author: </w:t>
      </w:r>
      <w:hyperlink r:id="rId9" w:history="1">
        <w:r w:rsidRPr="008F3356">
          <w:rPr>
            <w:rStyle w:val="Hyperlink"/>
            <w:rFonts w:ascii="Times New Roman" w:hAnsi="Times New Roman"/>
            <w:sz w:val="24"/>
            <w:szCs w:val="24"/>
            <w:lang w:val="en-GB"/>
          </w:rPr>
          <w:t>jwang010@cau.edu.cn</w:t>
        </w:r>
      </w:hyperlink>
    </w:p>
    <w:p w14:paraId="04AF69E6" w14:textId="77777777" w:rsidR="00792164" w:rsidRPr="008F5789" w:rsidRDefault="00792164" w:rsidP="00792164">
      <w:pPr>
        <w:pStyle w:val="MDPI16affiliation"/>
        <w:spacing w:line="240" w:lineRule="auto"/>
        <w:ind w:firstLine="361"/>
        <w:rPr>
          <w:rFonts w:ascii="Times New Roman" w:hAnsi="Times New Roman"/>
          <w:b/>
          <w:lang w:val="en-GB"/>
        </w:rPr>
      </w:pPr>
    </w:p>
    <w:p w14:paraId="587E5307" w14:textId="77777777" w:rsidR="00792164" w:rsidRPr="008F5789" w:rsidRDefault="00792164" w:rsidP="00792164">
      <w:pPr>
        <w:pStyle w:val="MDPI16affiliation"/>
        <w:spacing w:line="240" w:lineRule="auto"/>
        <w:ind w:firstLine="482"/>
        <w:rPr>
          <w:rFonts w:ascii="Times New Roman" w:hAnsi="Times New Roman"/>
          <w:b/>
          <w:sz w:val="24"/>
          <w:szCs w:val="24"/>
          <w:lang w:val="en-GB"/>
        </w:rPr>
      </w:pPr>
    </w:p>
    <w:p w14:paraId="01440F69" w14:textId="77777777" w:rsidR="00792164" w:rsidRPr="008F5789" w:rsidRDefault="00792164" w:rsidP="00792164">
      <w:pPr>
        <w:pStyle w:val="MDPI17abstract"/>
        <w:spacing w:before="0" w:line="240" w:lineRule="auto"/>
        <w:rPr>
          <w:rFonts w:ascii="Times New Roman" w:hAnsi="Times New Roman"/>
          <w:b/>
          <w:sz w:val="24"/>
          <w:szCs w:val="24"/>
          <w:lang w:val="en-GB"/>
        </w:rPr>
      </w:pPr>
      <w:r w:rsidRPr="008F5789">
        <w:rPr>
          <w:rFonts w:ascii="Times New Roman" w:hAnsi="Times New Roman"/>
          <w:b/>
          <w:sz w:val="24"/>
          <w:szCs w:val="24"/>
          <w:lang w:val="en-GB"/>
        </w:rPr>
        <w:t>Abstract</w:t>
      </w:r>
    </w:p>
    <w:p w14:paraId="2B0FD6C9" w14:textId="77777777" w:rsidR="00792164" w:rsidRPr="008F5789" w:rsidRDefault="00792164" w:rsidP="00792164">
      <w:pPr>
        <w:pStyle w:val="MDPI18keywords"/>
        <w:spacing w:before="0" w:line="240" w:lineRule="auto"/>
        <w:rPr>
          <w:rFonts w:ascii="Times New Roman" w:hAnsi="Times New Roman"/>
          <w:sz w:val="24"/>
          <w:szCs w:val="24"/>
          <w:lang w:val="en-GB"/>
        </w:rPr>
      </w:pPr>
      <w:r w:rsidRPr="00FB2E97">
        <w:rPr>
          <w:rFonts w:ascii="Times New Roman" w:eastAsia="SimSun" w:hAnsi="Times New Roman"/>
          <w:snapToGrid/>
          <w:color w:val="auto"/>
          <w:sz w:val="24"/>
          <w:szCs w:val="24"/>
          <w:lang w:val="en-GB" w:eastAsia="en-US" w:bidi="ar-SA"/>
        </w:rPr>
        <w:t>Zinc acts as an important cofactor in the body and is essential for normal functions. Several zinc interventions have been implemented worldwide to improve the public’s zinc status, but limited studies have assessed their cost-effectiveness. To help inform decision-making on zinc interventions to maximize benefits within a fixed budget, we took China as an example and evaluated the cost-effectiveness of three interventions, i.e., supplementation, food fortification, and biofortification. As an essential group at high risk of zinc deficiency, children aged 5 to 14 years, who account for 10% of the Chinese population, were selected as the target group in this study. We constructed a decision-analytic Markov model to determine the cost-effectiveness of interventions in China under different scenarios. In our model, biofortification through conventional breeding was shown to be the most cost-effective approach in most scenarios. Compared to other interventions, zinc supplementation gained fewer quality-adjusted life years (QALYs) at a higher net cost, suggesting that this common approach may not be optimal for large-scale, long-term implementation at the national level. While the robustness of the results was further confirmed by the sensitivity analysis, more research is needed to assess the cost-effectiveness of addressing zinc deficiency with other interventions. Further clinical trials are also expected to evaluate the effectiveness of zinc interventions in reducing pneumonia cases.</w:t>
      </w:r>
    </w:p>
    <w:p w14:paraId="19AF93DF" w14:textId="77777777" w:rsidR="00792164" w:rsidRPr="008F5789" w:rsidRDefault="00792164" w:rsidP="00792164">
      <w:pPr>
        <w:pStyle w:val="MDPI18keywords"/>
        <w:spacing w:before="0" w:line="240" w:lineRule="auto"/>
        <w:rPr>
          <w:rFonts w:ascii="Times New Roman" w:hAnsi="Times New Roman"/>
          <w:sz w:val="24"/>
          <w:szCs w:val="24"/>
          <w:lang w:val="en-GB"/>
        </w:rPr>
      </w:pPr>
    </w:p>
    <w:p w14:paraId="7FC88F7D" w14:textId="77777777" w:rsidR="00792164" w:rsidRPr="00D239CD" w:rsidRDefault="00792164" w:rsidP="00792164">
      <w:pPr>
        <w:pStyle w:val="MDPI18keywords"/>
        <w:spacing w:before="0" w:line="240" w:lineRule="auto"/>
        <w:ind w:left="0"/>
        <w:rPr>
          <w:lang w:val="en-GB"/>
        </w:rPr>
      </w:pPr>
      <w:r w:rsidRPr="008F5789">
        <w:rPr>
          <w:rFonts w:ascii="Times New Roman" w:hAnsi="Times New Roman"/>
          <w:b/>
          <w:sz w:val="24"/>
          <w:szCs w:val="24"/>
          <w:lang w:val="en-GB"/>
        </w:rPr>
        <w:t xml:space="preserve">Keywords: </w:t>
      </w:r>
      <w:r w:rsidRPr="00FB2E97">
        <w:rPr>
          <w:rFonts w:ascii="Times New Roman" w:hAnsi="Times New Roman"/>
          <w:sz w:val="24"/>
          <w:szCs w:val="24"/>
          <w:lang w:val="en-GB"/>
        </w:rPr>
        <w:t>biofortification, China, cost-effectiveness, economic evaluation, food fortification, zinc deficiency</w:t>
      </w:r>
    </w:p>
    <w:bookmarkEnd w:id="1"/>
    <w:p w14:paraId="701B5149" w14:textId="77777777" w:rsidR="00792164" w:rsidRDefault="00792164">
      <w:pPr>
        <w:widowControl/>
        <w:ind w:firstLineChars="0" w:firstLine="0"/>
        <w:jc w:val="left"/>
        <w:rPr>
          <w:rFonts w:eastAsiaTheme="minorEastAsia" w:cs="Times New Roman"/>
          <w:szCs w:val="24"/>
        </w:rPr>
      </w:pPr>
      <w:r>
        <w:rPr>
          <w:rFonts w:eastAsiaTheme="minorEastAsia" w:cs="Times New Roman"/>
          <w:szCs w:val="24"/>
        </w:rPr>
        <w:br w:type="page"/>
      </w:r>
    </w:p>
    <w:p w14:paraId="4BC05999" w14:textId="77777777" w:rsidR="00792164" w:rsidRPr="008F5789" w:rsidRDefault="00792164" w:rsidP="00792164">
      <w:pPr>
        <w:ind w:firstLine="482"/>
        <w:jc w:val="center"/>
        <w:rPr>
          <w:rFonts w:cs="Times New Roman"/>
          <w:b/>
          <w:lang w:val="en-GB"/>
        </w:rPr>
      </w:pPr>
      <w:r w:rsidRPr="008F5789">
        <w:rPr>
          <w:rFonts w:cs="Times New Roman"/>
          <w:b/>
          <w:lang w:val="en-GB"/>
        </w:rPr>
        <w:lastRenderedPageBreak/>
        <w:t>Research article</w:t>
      </w:r>
    </w:p>
    <w:p w14:paraId="3E88E0F5" w14:textId="65ED46FC" w:rsidR="00035381" w:rsidRPr="00963381" w:rsidRDefault="00565304" w:rsidP="00792164">
      <w:pPr>
        <w:pStyle w:val="Heading1"/>
        <w:numPr>
          <w:ilvl w:val="0"/>
          <w:numId w:val="6"/>
        </w:numPr>
        <w:ind w:firstLineChars="0"/>
      </w:pPr>
      <w:r w:rsidRPr="00963381">
        <w:t>Introduction</w:t>
      </w:r>
    </w:p>
    <w:p w14:paraId="3E88E0F7" w14:textId="175B1D55" w:rsidR="00035381" w:rsidRDefault="006C6201" w:rsidP="00276B6A">
      <w:pPr>
        <w:ind w:firstLine="480"/>
      </w:pPr>
      <w:bookmarkStart w:id="2" w:name="_Hlk141461867"/>
      <w:bookmarkStart w:id="3" w:name="_Hlk110531829"/>
      <w:r w:rsidRPr="006C6201">
        <w:t xml:space="preserve">Zinc is a vital trace element that serves multiple functions within the body. It acts as a component for numerous enzymes, contributing to essential metabolic pathways involved in structural, catalytic, and biochemical processes. </w:t>
      </w:r>
      <w:r w:rsidR="00C26610">
        <w:t>Globally</w:t>
      </w:r>
      <w:r w:rsidR="00565304">
        <w:t xml:space="preserve">, </w:t>
      </w:r>
      <w:r w:rsidR="00782E8D">
        <w:t xml:space="preserve">zinc deficiency has been regarded as a prevalent public health issue, especially in many low- and middle-income countries (LMICs) </w:t>
      </w:r>
      <w:r w:rsidR="00276B6A">
        <w:fldChar w:fldCharType="begin" w:fldLock="1"/>
      </w:r>
      <w:r w:rsidR="00887139">
        <w:instrText>ADDIN CSL_CITATION {"citationItems":[{"id":"ITEM-1","itemData":{"author":[{"dropping-particle":"","family":"Caulfield","given":"Laura E","non-dropping-particle":"","parse-names":false,"suffix":""},{"dropping-particle":"","family":"Black","given":"Robert E","non-dropping-particle":"","parse-names":false,"suffix":""}],"container-title":"Comparative quantification of health risks: global and regional burden of disease attributable to selected major risk factors","id":"ITEM-1","issued":{"date-parts":[["2004"]]},"page":"257-280","publisher":"World Health Organization: Geneva, Swtizerland","title":"Zinc deficiency","type":"chapter","volume":"1"},"uris":["http://www.mendeley.com/documents/?uuid=951bf158-64dd-47c5-8ecb-ea6b8719ce96"]}],"mendeley":{"formattedCitation":"(Caulfield and Black, 2004)","plainTextFormattedCitation":"(Caulfield and Black, 2004)","previouslyFormattedCitation":"(Caulfield and Black, 2004)"},"properties":{"noteIndex":0},"schema":"https://github.com/citation-style-language/schema/raw/master/csl-citation.json"}</w:instrText>
      </w:r>
      <w:r w:rsidR="00276B6A">
        <w:fldChar w:fldCharType="separate"/>
      </w:r>
      <w:r w:rsidR="00276B6A" w:rsidRPr="00276B6A">
        <w:rPr>
          <w:noProof/>
        </w:rPr>
        <w:t>(Caulfield and Black, 2004)</w:t>
      </w:r>
      <w:r w:rsidR="00276B6A">
        <w:fldChar w:fldCharType="end"/>
      </w:r>
      <w:r w:rsidR="00276B6A">
        <w:t xml:space="preserve">. It results in various </w:t>
      </w:r>
      <w:r w:rsidR="00276B6A">
        <w:rPr>
          <w:rFonts w:hint="eastAsia"/>
        </w:rPr>
        <w:t>a</w:t>
      </w:r>
      <w:r w:rsidR="00276B6A">
        <w:t xml:space="preserve">dverse health effects, including stunted growth and increased risk of infections, particularly diarrhea and pneumonia in children, and several chronic diseases in adults </w:t>
      </w:r>
      <w:r w:rsidR="00276B6A">
        <w:fldChar w:fldCharType="begin" w:fldLock="1"/>
      </w:r>
      <w:r w:rsidR="0094296D">
        <w:instrText>ADDIN CSL_CITATION {"citationItems":[{"id":"ITEM-1","itemData":{"author":[{"dropping-particle":"","family":"Deshpande","given":"Jayant D","non-dropping-particle":"","parse-names":false,"suffix":""},{"dropping-particle":"","family":"Joshi","given":"Mohini M","non-dropping-particle":"","parse-names":false,"suffix":""},{"dropping-particle":"","family":"Giri","given":"Purushottam A","non-dropping-particle":"","parse-names":false,"suffix":""}],"container-title":"International Journal of Medical Science and Public Health","id":"ITEM-1","issue":"1","issued":{"date-parts":[["2013"]]},"page":"1-6","publisher":"Citeseer","title":"Zinc: The trace element of major importance in human nutrition and health","type":"article-journal","volume":"2"},"uris":["http://www.mendeley.com/documents/?uuid=551a60a8-b4e7-4ac3-8301-18ffb67255f6"]}],"mendeley":{"formattedCitation":"(Deshpande, Joshi and Giri, 2013)","manualFormatting":"(Deshpande et al., 2013)","plainTextFormattedCitation":"(Deshpande, Joshi and Giri, 2013)","previouslyFormattedCitation":"(Deshpande, Joshi and Giri, 2013)"},"properties":{"noteIndex":0},"schema":"https://github.com/citation-style-language/schema/raw/master/csl-citation.json"}</w:instrText>
      </w:r>
      <w:r w:rsidR="00276B6A">
        <w:fldChar w:fldCharType="separate"/>
      </w:r>
      <w:r w:rsidR="00276B6A" w:rsidRPr="00F417F3">
        <w:rPr>
          <w:noProof/>
        </w:rPr>
        <w:t>(Deshpande</w:t>
      </w:r>
      <w:r w:rsidR="00511BB5">
        <w:rPr>
          <w:noProof/>
        </w:rPr>
        <w:t xml:space="preserve"> </w:t>
      </w:r>
      <w:r w:rsidR="00511BB5" w:rsidRPr="00E97FAF">
        <w:rPr>
          <w:i/>
          <w:iCs/>
          <w:noProof/>
        </w:rPr>
        <w:t>et al.</w:t>
      </w:r>
      <w:r w:rsidR="00511BB5">
        <w:rPr>
          <w:noProof/>
        </w:rPr>
        <w:t>,</w:t>
      </w:r>
      <w:r w:rsidR="00276B6A" w:rsidRPr="00F417F3">
        <w:rPr>
          <w:noProof/>
        </w:rPr>
        <w:t xml:space="preserve"> 2013)</w:t>
      </w:r>
      <w:r w:rsidR="00276B6A">
        <w:fldChar w:fldCharType="end"/>
      </w:r>
      <w:r w:rsidR="00276B6A">
        <w:t>.</w:t>
      </w:r>
      <w:bookmarkEnd w:id="2"/>
      <w:r>
        <w:t xml:space="preserve"> </w:t>
      </w:r>
      <w:r w:rsidR="00276B6A">
        <w:t>Z</w:t>
      </w:r>
      <w:r w:rsidR="00565304">
        <w:t xml:space="preserve">inc deficiency </w:t>
      </w:r>
      <w:r w:rsidR="00CE44F4">
        <w:t>contributes</w:t>
      </w:r>
      <w:r w:rsidR="00C26610">
        <w:t xml:space="preserve"> </w:t>
      </w:r>
      <w:r w:rsidR="00565304">
        <w:t xml:space="preserve">to the mortality of </w:t>
      </w:r>
      <w:r w:rsidR="00D220F2">
        <w:t xml:space="preserve">approximately </w:t>
      </w:r>
      <w:r w:rsidR="00565304">
        <w:t xml:space="preserve">800,000 children </w:t>
      </w:r>
      <w:r w:rsidR="00C26610">
        <w:rPr>
          <w:rFonts w:hint="eastAsia"/>
        </w:rPr>
        <w:t>eac</w:t>
      </w:r>
      <w:r w:rsidR="00C26610">
        <w:t xml:space="preserve">h year </w:t>
      </w:r>
      <w:r w:rsidR="00565304">
        <w:fldChar w:fldCharType="begin" w:fldLock="1"/>
      </w:r>
      <w:r w:rsidR="00F417F3">
        <w:instrText>ADDIN CSL_CITATION {"citationItems":[{"id":"ITEM-1","itemData":{"ISSN":"0022-3166","author":[{"dropping-particle":"","family":"Hambidge","given":"K Michael","non-dropping-particle":"","parse-names":false,"suffix":""},{"dropping-particle":"","family":"Krebs","given":"Nancy F","non-dropping-particle":"","parse-names":false,"suffix":""}],"container-title":"The Journal of nutrition","id":"ITEM-1","issue":"4","issued":{"date-parts":[["2007"]]},"page":"1101-1105","publisher":"Oxford University Press","title":"Zinc deficiency: a special challenge","type":"article-journal","volume":"137"},"uris":["http://www.mendeley.com/documents/?uuid=bfe9e974-44ba-4567-91bc-b33d4c4778a0"]}],"mendeley":{"formattedCitation":"(Hambidge and Krebs, 2007)","plainTextFormattedCitation":"(Hambidge and Krebs, 2007)","previouslyFormattedCitation":"(Hambidge and Krebs, 2007)"},"properties":{"noteIndex":0},"schema":"https://github.com/citation-style-language/schema/raw/master/csl-citation.json"}</w:instrText>
      </w:r>
      <w:r w:rsidR="00565304">
        <w:fldChar w:fldCharType="separate"/>
      </w:r>
      <w:r w:rsidR="00F417F3" w:rsidRPr="00F417F3">
        <w:rPr>
          <w:noProof/>
        </w:rPr>
        <w:t>(Hambidge and Krebs, 2007)</w:t>
      </w:r>
      <w:r w:rsidR="00565304">
        <w:fldChar w:fldCharType="end"/>
      </w:r>
      <w:r w:rsidR="00565304">
        <w:t>.</w:t>
      </w:r>
      <w:r w:rsidR="00824A42">
        <w:t xml:space="preserve"> </w:t>
      </w:r>
      <w:r w:rsidR="00565304">
        <w:t xml:space="preserve">China has an exceptionally high prevalence rate of zinc deficiency, especially </w:t>
      </w:r>
      <w:r w:rsidR="00D220F2">
        <w:t xml:space="preserve">among </w:t>
      </w:r>
      <w:r w:rsidR="00565304">
        <w:t>younger generations.</w:t>
      </w:r>
      <w:r w:rsidR="00BD76BD">
        <w:t xml:space="preserve"> </w:t>
      </w:r>
      <w:r w:rsidR="007F58E9">
        <w:t>According to</w:t>
      </w:r>
      <w:r w:rsidR="00CE44F4">
        <w:t xml:space="preserve"> </w:t>
      </w:r>
      <w:r w:rsidR="00D220F2">
        <w:t xml:space="preserve">the </w:t>
      </w:r>
      <w:r w:rsidR="00F67E39">
        <w:t>Center for Disease Control (</w:t>
      </w:r>
      <w:r w:rsidR="00F520F0">
        <w:fldChar w:fldCharType="begin" w:fldLock="1"/>
      </w:r>
      <w:r w:rsidR="00F67E39">
        <w:instrText>ADDIN CSL_CITATION {"citationItems":[{"id":"ITEM-1","itemData":{"author":[{"dropping-particle":"","family":"China CDC","given":"","non-dropping-particle":"","parse-names":false,"suffix":""}],"id":"ITEM-1","issued":{"date-parts":[["2020"]]},"publisher-place":"Beijing","title":"Report on Chinese Residents’ Chronic Diseases and Nutrition","type":"report"},"uris":["http://www.mendeley.com/documents/?uuid=1701f321-2e67-498e-89d1-09877b2a00cc"]}],"mendeley":{"formattedCitation":"(China CDC, 2020)","manualFormatting":"CDC) in China (2020)","plainTextFormattedCitation":"(China CDC, 2020)","previouslyFormattedCitation":"(China CDC, 2020)"},"properties":{"noteIndex":0},"schema":"https://github.com/citation-style-language/schema/raw/master/csl-citation.json"}</w:instrText>
      </w:r>
      <w:r w:rsidR="00F520F0">
        <w:fldChar w:fldCharType="separate"/>
      </w:r>
      <w:r w:rsidR="003A6859">
        <w:rPr>
          <w:noProof/>
        </w:rPr>
        <w:t>CDC</w:t>
      </w:r>
      <w:r w:rsidR="00F67E39">
        <w:rPr>
          <w:noProof/>
        </w:rPr>
        <w:t>)</w:t>
      </w:r>
      <w:r w:rsidR="003A6859">
        <w:rPr>
          <w:noProof/>
        </w:rPr>
        <w:t xml:space="preserve"> in </w:t>
      </w:r>
      <w:r w:rsidR="00F520F0" w:rsidRPr="00F520F0">
        <w:rPr>
          <w:noProof/>
        </w:rPr>
        <w:t xml:space="preserve">China </w:t>
      </w:r>
      <w:r w:rsidR="00F520F0">
        <w:rPr>
          <w:noProof/>
        </w:rPr>
        <w:t>(</w:t>
      </w:r>
      <w:r w:rsidR="00F520F0" w:rsidRPr="00F520F0">
        <w:rPr>
          <w:noProof/>
        </w:rPr>
        <w:t>2020)</w:t>
      </w:r>
      <w:r w:rsidR="00F520F0">
        <w:fldChar w:fldCharType="end"/>
      </w:r>
      <w:r w:rsidR="007F58E9">
        <w:t xml:space="preserve">, the average daily zinc intake </w:t>
      </w:r>
      <w:r w:rsidR="00D220F2">
        <w:t xml:space="preserve">of </w:t>
      </w:r>
      <w:r w:rsidR="007F58E9">
        <w:t xml:space="preserve">the </w:t>
      </w:r>
      <w:r w:rsidR="00D220F2">
        <w:t xml:space="preserve">total </w:t>
      </w:r>
      <w:r w:rsidR="007F58E9">
        <w:t xml:space="preserve">population was 10.3mg per day, </w:t>
      </w:r>
      <w:r w:rsidR="00CE44F4">
        <w:t xml:space="preserve"> which is </w:t>
      </w:r>
      <w:r w:rsidR="000064D3">
        <w:t>about 18 %</w:t>
      </w:r>
      <w:r w:rsidR="007F58E9">
        <w:t xml:space="preserve"> </w:t>
      </w:r>
      <w:r w:rsidR="00D220F2">
        <w:t>below the recommended level</w:t>
      </w:r>
      <w:r w:rsidR="00621D7C">
        <w:t xml:space="preserve">. </w:t>
      </w:r>
      <w:r w:rsidR="000064D3">
        <w:t>Among children and adolescents, t</w:t>
      </w:r>
      <w:r w:rsidR="00621D7C">
        <w:t xml:space="preserve">he prevalence </w:t>
      </w:r>
      <w:r w:rsidR="00126897">
        <w:t xml:space="preserve">of zinc deficiency </w:t>
      </w:r>
      <w:r w:rsidR="00621D7C">
        <w:t xml:space="preserve">was reported to be </w:t>
      </w:r>
      <w:r w:rsidR="000064D3">
        <w:t xml:space="preserve">even </w:t>
      </w:r>
      <w:r w:rsidR="00621D7C">
        <w:t xml:space="preserve">higher than the </w:t>
      </w:r>
      <w:r w:rsidR="000064D3">
        <w:t xml:space="preserve">national </w:t>
      </w:r>
      <w:r w:rsidR="00621D7C">
        <w:t>average</w:t>
      </w:r>
      <w:r w:rsidR="00C5564A">
        <w:t xml:space="preserve"> </w:t>
      </w:r>
      <w:r w:rsidR="00C5564A">
        <w:fldChar w:fldCharType="begin" w:fldLock="1"/>
      </w:r>
      <w:r w:rsidR="00F417F3">
        <w:instrText>ADDIN CSL_CITATION {"citationItems":[{"id":"ITEM-1","itemData":{"author":[{"dropping-particle":"","family":"China CDC","given":"","non-dropping-particle":"","parse-names":false,"suffix":""}],"id":"ITEM-1","issued":{"date-parts":[["2020"]]},"publisher-place":"Beijing","title":"Report on Chinese Residents’ Chronic Diseases and Nutrition","type":"report"},"uris":["http://www.mendeley.com/documents/?uuid=1701f321-2e67-498e-89d1-09877b2a00cc"]}],"mendeley":{"formattedCitation":"(China CDC, 2020)","plainTextFormattedCitation":"(China CDC, 2020)","previouslyFormattedCitation":"(China CDC, 2020)"},"properties":{"noteIndex":0},"schema":"https://github.com/citation-style-language/schema/raw/master/csl-citation.json"}</w:instrText>
      </w:r>
      <w:r w:rsidR="00C5564A">
        <w:fldChar w:fldCharType="separate"/>
      </w:r>
      <w:r w:rsidR="00F417F3" w:rsidRPr="00F417F3">
        <w:rPr>
          <w:noProof/>
        </w:rPr>
        <w:t>(China CDC, 2020)</w:t>
      </w:r>
      <w:r w:rsidR="00C5564A">
        <w:fldChar w:fldCharType="end"/>
      </w:r>
      <w:r w:rsidR="00621D7C">
        <w:t xml:space="preserve">. </w:t>
      </w:r>
      <w:r w:rsidR="00D220F2">
        <w:t>A r</w:t>
      </w:r>
      <w:r w:rsidR="00A144FD">
        <w:t xml:space="preserve">ecent meta-analysis conducted in China shows that </w:t>
      </w:r>
      <w:r w:rsidR="00BD76BD">
        <w:t>27</w:t>
      </w:r>
      <w:r w:rsidR="00A144FD">
        <w:t xml:space="preserve">% of children and adolescents </w:t>
      </w:r>
      <w:r w:rsidR="00D220F2">
        <w:t xml:space="preserve">aged &lt;14 years </w:t>
      </w:r>
      <w:r w:rsidR="00A144FD">
        <w:t>have lo</w:t>
      </w:r>
      <w:r w:rsidR="00A55D1B" w:rsidRPr="006B19E1">
        <w:t xml:space="preserve">w </w:t>
      </w:r>
      <w:r w:rsidR="00A55D1B">
        <w:t>serum</w:t>
      </w:r>
      <w:r w:rsidR="0073259C">
        <w:t xml:space="preserve"> </w:t>
      </w:r>
      <w:r w:rsidR="00A144FD">
        <w:t>zinc level</w:t>
      </w:r>
      <w:r w:rsidR="00A55D1B">
        <w:t xml:space="preserve">s </w:t>
      </w:r>
      <w:r w:rsidR="009457B6" w:rsidRPr="00B10CFA">
        <w:fldChar w:fldCharType="begin" w:fldLock="1"/>
      </w:r>
      <w:r w:rsidR="00B10CFA">
        <w:instrText>ADDIN CSL_CITATION {"citationItems":[{"id":"ITEM-1","itemData":{"ISSN":"2380-0658","author":[{"dropping-particle":"","family":"Cai-Jin","given":"Y","non-dropping-particle":"","parse-names":false,"suffix":""},{"dropping-particle":"","family":"Jing-Ying","given":"S","non-dropping-particle":"","parse-names":false,"suffix":""},{"dropping-particle":"","family":"Gang-Xi","given":"L","non-dropping-particle":"","parse-names":false,"suffix":""}],"container-title":"J Fam Med","id":"ITEM-1","issue":"5","issued":{"date-parts":[["2021"]]},"page":"1257","title":"Meta-analysis of zinc deficiency and its influence factors in children under 14-year-old in china","type":"article-journal","volume":"8"},"uris":["http://www.mendeley.com/documents/?uuid=0c21e5c9-c255-491d-9340-3ea57040a7b3"]}],"mendeley":{"formattedCitation":"(Cai-Jin, Jing-Ying and Gang-Xi, 2021)","manualFormatting":"(Cai-Jin et al., 2021)","plainTextFormattedCitation":"(Cai-Jin, Jing-Ying and Gang-Xi, 2021)","previouslyFormattedCitation":"(Cai-Jin, Jing-Ying and Gang-Xi, 2021)"},"properties":{"noteIndex":0},"schema":"https://github.com/citation-style-language/schema/raw/master/csl-citation.json"}</w:instrText>
      </w:r>
      <w:r w:rsidR="009457B6" w:rsidRPr="00B10CFA">
        <w:fldChar w:fldCharType="separate"/>
      </w:r>
      <w:r w:rsidR="009457B6" w:rsidRPr="00383665">
        <w:rPr>
          <w:noProof/>
        </w:rPr>
        <w:t>(Cai-Jin</w:t>
      </w:r>
      <w:r w:rsidR="00B10CFA" w:rsidRPr="00383665">
        <w:rPr>
          <w:noProof/>
        </w:rPr>
        <w:t xml:space="preserve"> et al.,</w:t>
      </w:r>
      <w:r w:rsidR="009457B6" w:rsidRPr="00383665">
        <w:rPr>
          <w:noProof/>
        </w:rPr>
        <w:t xml:space="preserve"> 2021</w:t>
      </w:r>
      <w:r w:rsidR="009457B6" w:rsidRPr="00B10CFA">
        <w:rPr>
          <w:noProof/>
        </w:rPr>
        <w:t>)</w:t>
      </w:r>
      <w:r w:rsidR="009457B6" w:rsidRPr="00B10CFA">
        <w:fldChar w:fldCharType="end"/>
      </w:r>
      <w:r w:rsidR="000064D3">
        <w:t xml:space="preserve">, with </w:t>
      </w:r>
      <w:r w:rsidR="00A144FD">
        <w:t xml:space="preserve"> </w:t>
      </w:r>
      <w:r w:rsidR="00565304" w:rsidRPr="002876B4">
        <w:t>37.6%</w:t>
      </w:r>
      <w:r w:rsidR="00565304">
        <w:t xml:space="preserve"> of adolescents</w:t>
      </w:r>
      <w:r w:rsidR="00D220F2">
        <w:t xml:space="preserve"> aged 11-17 years</w:t>
      </w:r>
      <w:r w:rsidR="00CE44F4">
        <w:t xml:space="preserve"> hav</w:t>
      </w:r>
      <w:r w:rsidR="000064D3">
        <w:t>ing</w:t>
      </w:r>
      <w:r w:rsidR="00CE44F4">
        <w:t xml:space="preserve"> </w:t>
      </w:r>
      <w:r w:rsidR="000064D3">
        <w:t xml:space="preserve">a </w:t>
      </w:r>
      <w:r w:rsidR="00565304">
        <w:t xml:space="preserve">daily zinc intake </w:t>
      </w:r>
      <w:r w:rsidR="00CE44F4">
        <w:t xml:space="preserve">below </w:t>
      </w:r>
      <w:r w:rsidR="00565304">
        <w:t xml:space="preserve">the </w:t>
      </w:r>
      <w:r w:rsidR="00D220F2">
        <w:t>E</w:t>
      </w:r>
      <w:r w:rsidR="00565304">
        <w:t xml:space="preserve">stimated </w:t>
      </w:r>
      <w:r w:rsidR="00D220F2">
        <w:t>A</w:t>
      </w:r>
      <w:r w:rsidR="00565304">
        <w:t xml:space="preserve">verage </w:t>
      </w:r>
      <w:r w:rsidR="00D220F2">
        <w:t>R</w:t>
      </w:r>
      <w:r w:rsidR="00565304">
        <w:t>equirement (EAR)</w:t>
      </w:r>
      <w:r w:rsidR="00565304">
        <w:fldChar w:fldCharType="begin" w:fldLock="1"/>
      </w:r>
      <w:r w:rsidR="001A20B6">
        <w:instrText>ADDIN CSL_CITATION {"citationItems":[{"id":"ITEM-1","itemData":{"DOI":"10.3390/nu9040397","ISBN":"8610831329","ISSN":"20726643","PMID":"28420205","abstract":"The aim of this study was to examine usual daily micronutrient intake of Chinese children based on data from the 2011 China Health and Nutrition Survey. We analyzed data from 4 to 17-year-old participants, who provided dietary data on three consecutive days combined with the household weighing method in 2011. Usual daily intake of each nutrient was estimated using a mixed effects model based on the China Food Composition published in 2009. The means, medians and percentages below Estimated Average Requirements (EAR) were reported for selected micronutrients, including calcium, sodium, potassium, iron, zinc, selenium, vitamin A, thiamine, riboflavin and vitamin C. For sodium and potassium, the means and the distribution of intakes were compared to the Adequate Intake (AI) level. The average usual daily intakes of all micronutrients increase with age, and the intakes of boys were found to be higher than girls in the same age group. The average calcium intake increased from 272 mg/day in 4–6 years to 391 mg/day in 14–17 years, but the percentage of inadequate calcium intake remained very high (&gt;96%). The prevalence of inadequacy of calcium was the highest among the mineral nutrients reported in this study. As the requirements of micronutrients increased with age, the percentage of subjects with inadequate intake increased in the 11–17 years age groups. Among 14–17 years group, the percentages of study participants with dietary intakes of calcium, iron, zinc, selenium, vitamin A, thiamine, riboflavin and vitamin C below the EAR were 96.8%, 18.8%, 37.6%, 72.8%, 36.8%, 91.8%. 85.9% and 75.5%, respectively. Among 11–13 years group, the percentages of study participants with dietary intakes of iron, zinc and vitamin A below the EAR were 23.5%, 41.5%, and 41.6%, respectively. Thus, micronutrient deficiency is a problem in Chinese children. Nutrition education and intervention programs are needed to address these nutritional gaps.","author":[{"dropping-particle":"","family":"Wang","given":"Huijun","non-dropping-particle":"","parse-names":false,"suffix":""},{"dropping-particle":"","family":"Wang","given":"Dantong","non-dropping-particle":"","parse-names":false,"suffix":""},{"dropping-particle":"","family":"Ouyang","given":"Yifei","non-dropping-particle":"","parse-names":false,"suffix":""},{"dropping-particle":"","family":"Huang","given":"Feifei","non-dropping-particle":"","parse-names":false,"suffix":""},{"dropping-particle":"","family":"Ding","given":"Gangqiang","non-dropping-particle":"","parse-names":false,"suffix":""},{"dropping-particle":"","family":"Zhang","given":"Bing","non-dropping-particle":"","parse-names":false,"suffix":""}],"container-title":"Nutrients","id":"ITEM-1","issue":"4","issued":{"date-parts":[["2017"]]},"page":"397","title":"Do Chinese children get enough micronutrients?","type":"article-journal","volume":"9"},"uris":["http://www.mendeley.com/documents/?uuid=821c6f6e-4eaa-4893-a141-ad67f68a4ba0"]}],"mendeley":{"formattedCitation":"(Wang &lt;i&gt;et al.&lt;/i&gt;, 2017)","manualFormatting":"(Wang et al., 2017)","plainTextFormattedCitation":"(Wang et al., 2017)","previouslyFormattedCitation":"(Wang &lt;i&gt;et al.&lt;/i&gt;, 2017)"},"properties":{"noteIndex":0},"schema":"https://github.com/citation-style-language/schema/raw/master/csl-citation.json"}</w:instrText>
      </w:r>
      <w:r w:rsidR="00565304">
        <w:fldChar w:fldCharType="separate"/>
      </w:r>
      <w:r w:rsidR="00565304">
        <w:rPr>
          <w:noProof/>
        </w:rPr>
        <w:t>(Wang</w:t>
      </w:r>
      <w:r w:rsidR="00565304" w:rsidRPr="00E97FAF">
        <w:rPr>
          <w:i/>
          <w:iCs/>
          <w:noProof/>
        </w:rPr>
        <w:t xml:space="preserve"> et al.</w:t>
      </w:r>
      <w:r w:rsidR="00565304">
        <w:rPr>
          <w:noProof/>
        </w:rPr>
        <w:t>, 2017)</w:t>
      </w:r>
      <w:r w:rsidR="00565304">
        <w:fldChar w:fldCharType="end"/>
      </w:r>
      <w:r w:rsidR="00565304">
        <w:t xml:space="preserve">. </w:t>
      </w:r>
      <w:r w:rsidR="000064D3">
        <w:t>In China, c</w:t>
      </w:r>
      <w:r w:rsidR="00565304">
        <w:t xml:space="preserve">hildren in remote and </w:t>
      </w:r>
      <w:r w:rsidR="00CE44F4">
        <w:t xml:space="preserve">impoverished </w:t>
      </w:r>
      <w:r w:rsidR="00565304">
        <w:t>regions</w:t>
      </w:r>
      <w:r w:rsidR="000064D3">
        <w:t xml:space="preserve">, </w:t>
      </w:r>
      <w:r w:rsidR="00565304">
        <w:t>especially in central and western provinces</w:t>
      </w:r>
      <w:r w:rsidR="000064D3">
        <w:t xml:space="preserve">, </w:t>
      </w:r>
      <w:r w:rsidR="00D220F2">
        <w:t>are particularly at risk due to</w:t>
      </w:r>
      <w:r w:rsidR="00D078C5">
        <w:t xml:space="preserve"> </w:t>
      </w:r>
      <w:r w:rsidR="00565304">
        <w:t xml:space="preserve">local dietary habits, </w:t>
      </w:r>
      <w:r w:rsidR="000064D3">
        <w:t xml:space="preserve">and </w:t>
      </w:r>
      <w:r w:rsidR="00BE0D69">
        <w:t>limited</w:t>
      </w:r>
      <w:r w:rsidR="00D078C5" w:rsidRPr="00D078C5">
        <w:t xml:space="preserve"> </w:t>
      </w:r>
      <w:r w:rsidR="00D610B8">
        <w:t>accessibility</w:t>
      </w:r>
      <w:r w:rsidR="00BE0D69">
        <w:t xml:space="preserve"> </w:t>
      </w:r>
      <w:r w:rsidR="00D078C5">
        <w:t xml:space="preserve">and </w:t>
      </w:r>
      <w:r w:rsidR="00D610B8">
        <w:t>affordability of</w:t>
      </w:r>
      <w:r w:rsidR="00D078C5">
        <w:t xml:space="preserve"> healthy</w:t>
      </w:r>
      <w:r w:rsidR="00565304">
        <w:t xml:space="preserve"> food</w:t>
      </w:r>
      <w:r w:rsidR="00D220F2">
        <w:t>s</w:t>
      </w:r>
      <w:r w:rsidR="00565304">
        <w:t xml:space="preserve"> </w:t>
      </w:r>
      <w:r w:rsidR="00565304">
        <w:fldChar w:fldCharType="begin" w:fldLock="1"/>
      </w:r>
      <w:r w:rsidR="00C260CE">
        <w:instrText>ADDIN CSL_CITATION {"citationItems":[{"id":"ITEM-1","itemData":{"ISSN":"1932-6203","author":[{"dropping-particle":"","family":"Zhang","given":"Yan","non-dropping-particle":"","parse-names":false,"suffix":""},{"dropping-particle":"","family":"Huang","given":"Xiaona","non-dropping-particle":"","parse-names":false,"suffix":""},{"dropping-particle":"","family":"Yang","given":"Yuning","non-dropping-particle":"","parse-names":false,"suffix":""},{"dropping-particle":"","family":"Liu","given":"Xiaoli","non-dropping-particle":"","parse-names":false,"suffix":""},{"dropping-particle":"","family":"Yang","given":"Chenlu","non-dropping-particle":"","parse-names":false,"suffix":""},{"dropping-particle":"","family":"Wang","given":"Anqi","non-dropping-particle":"","parse-names":false,"suffix":""},{"dropping-particle":"","family":"Wang","given":"Yan","non-dropping-particle":"","parse-names":false,"suffix":""},{"dropping-particle":"","family":"Zhou","given":"Hong","non-dropping-particle":"","parse-names":false,"suffix":""}],"container-title":"PLoS One","id":"ITEM-1","issue":"9","issued":{"date-parts":[["2018"]]},"page":"e0204142","publisher":"Public Library of Science San Francisco, CA USA","title":"Double burden of malnutrition among children under 5 in poor areas of China","type":"article-journal","volume":"13"},"uris":["http://www.mendeley.com/documents/?uuid=a5d27eb8-8613-4bcc-8594-8046f3d39859"]}],"mendeley":{"formattedCitation":"(Zhang &lt;i&gt;et al.&lt;/i&gt;, 2018)","manualFormatting":"(Zhang et al., 2018)","plainTextFormattedCitation":"(Zhang et al., 2018)","previouslyFormattedCitation":"(Zhang &lt;i&gt;et al.&lt;/i&gt;, 2018)"},"properties":{"noteIndex":0},"schema":"https://github.com/citation-style-language/schema/raw/master/csl-citation.json"}</w:instrText>
      </w:r>
      <w:r w:rsidR="00565304">
        <w:fldChar w:fldCharType="separate"/>
      </w:r>
      <w:r w:rsidR="00565304">
        <w:rPr>
          <w:noProof/>
        </w:rPr>
        <w:t>(Zhang et al., 2018)</w:t>
      </w:r>
      <w:r w:rsidR="00565304">
        <w:fldChar w:fldCharType="end"/>
      </w:r>
      <w:r w:rsidR="00565304">
        <w:t xml:space="preserve">. </w:t>
      </w:r>
      <w:r w:rsidR="00D220F2">
        <w:t xml:space="preserve">According to </w:t>
      </w:r>
      <w:r w:rsidR="00565304">
        <w:t xml:space="preserve">WHO </w:t>
      </w:r>
      <w:r w:rsidR="00D078C5">
        <w:t>standards</w:t>
      </w:r>
      <w:r w:rsidR="00565304">
        <w:t xml:space="preserve">, </w:t>
      </w:r>
      <w:r w:rsidR="00A1598E">
        <w:t xml:space="preserve">appropriate interventions </w:t>
      </w:r>
      <w:r w:rsidR="00D3132F">
        <w:rPr>
          <w:rFonts w:hint="eastAsia"/>
        </w:rPr>
        <w:t>are</w:t>
      </w:r>
      <w:r w:rsidR="00D3132F">
        <w:t xml:space="preserve"> </w:t>
      </w:r>
      <w:r w:rsidR="00A1598E">
        <w:t>needed</w:t>
      </w:r>
      <w:r w:rsidR="00D3132F">
        <w:t xml:space="preserve"> </w:t>
      </w:r>
      <w:r w:rsidR="00A1598E">
        <w:t xml:space="preserve">to alleviate the burden of zinc deficiency </w:t>
      </w:r>
      <w:r w:rsidR="00D3132F">
        <w:t xml:space="preserve">when </w:t>
      </w:r>
      <w:r w:rsidR="00565304">
        <w:t xml:space="preserve">the prevalence of inadequate zinc intake </w:t>
      </w:r>
      <w:r w:rsidR="00D078C5">
        <w:t xml:space="preserve">exceeds </w:t>
      </w:r>
      <w:r w:rsidR="00565304">
        <w:t>20%.</w:t>
      </w:r>
      <w:r>
        <w:t xml:space="preserve"> </w:t>
      </w:r>
      <w:bookmarkStart w:id="4" w:name="_Hlk144046492"/>
      <w:r w:rsidR="00887139" w:rsidRPr="00887139">
        <w:t>Conversely</w:t>
      </w:r>
      <w:r>
        <w:t xml:space="preserve">, </w:t>
      </w:r>
      <w:r w:rsidR="00887139" w:rsidRPr="00887139">
        <w:t>the prevalence of</w:t>
      </w:r>
      <w:r>
        <w:t xml:space="preserve"> zinc overconsumption</w:t>
      </w:r>
      <w:r w:rsidR="00887139">
        <w:t xml:space="preserve"> </w:t>
      </w:r>
      <w:r w:rsidR="00887139" w:rsidRPr="00887139">
        <w:t xml:space="preserve">has </w:t>
      </w:r>
      <w:r w:rsidR="00887139">
        <w:t xml:space="preserve">also </w:t>
      </w:r>
      <w:r w:rsidR="00887139" w:rsidRPr="00887139">
        <w:t xml:space="preserve">become a growing concern </w:t>
      </w:r>
      <w:r w:rsidR="00887139">
        <w:t xml:space="preserve">in recent years </w:t>
      </w:r>
      <w:r w:rsidR="00363E44" w:rsidRPr="00363E44">
        <w:t>due to its potential toxicity risks and its close association with zinc supplementation</w:t>
      </w:r>
      <w:r w:rsidR="00771867">
        <w:t xml:space="preserve"> </w:t>
      </w:r>
      <w:r w:rsidR="00771867">
        <w:fldChar w:fldCharType="begin" w:fldLock="1"/>
      </w:r>
      <w:r w:rsidR="0094296D">
        <w:instrText>ADDIN CSL_CITATION {"citationItems":[{"id":"ITEM-1","itemData":{"ISSN":"1040-8703","author":[{"dropping-particle":"","family":"Willoughby","given":"Jennifer L","non-dropping-particle":"","parse-names":false,"suffix":""},{"dropping-particle":"","family":"Bowen","given":"Christine N","non-dropping-particle":"","parse-names":false,"suffix":""}],"container-title":"Current opinion in pediatrics","id":"ITEM-1","issue":"5","issued":{"date-parts":[["2014"]]},"page":"579-584","publisher":"LWW","title":"Zinc deficiency and toxicity in pediatric practice","type":"article-journal","volume":"26"},"uris":["http://www.mendeley.com/documents/?uuid=6a3e0399-cbae-4c40-bdd3-5fce4674653c"]}],"mendeley":{"formattedCitation":"(Willoughby and Bowen, 2014)","plainTextFormattedCitation":"(Willoughby and Bowen, 2014)","previouslyFormattedCitation":"(Willoughby and Bowen, 2014)"},"properties":{"noteIndex":0},"schema":"https://github.com/citation-style-language/schema/raw/master/csl-citation.json"}</w:instrText>
      </w:r>
      <w:r w:rsidR="00771867">
        <w:fldChar w:fldCharType="separate"/>
      </w:r>
      <w:r w:rsidR="00771867" w:rsidRPr="00771867">
        <w:rPr>
          <w:noProof/>
        </w:rPr>
        <w:t>(Willoughby and Bowen, 2014)</w:t>
      </w:r>
      <w:r w:rsidR="00771867">
        <w:fldChar w:fldCharType="end"/>
      </w:r>
      <w:r w:rsidR="00887139" w:rsidRPr="00887139">
        <w:t>.</w:t>
      </w:r>
      <w:r w:rsidR="00887139">
        <w:t xml:space="preserve"> </w:t>
      </w:r>
      <w:r w:rsidR="00887139" w:rsidRPr="00887139">
        <w:t>To ensure the optimization of health outcomes, it is essential to strike a balance in zinc intake and carefully consider</w:t>
      </w:r>
      <w:r w:rsidR="00963783">
        <w:t xml:space="preserve"> public</w:t>
      </w:r>
      <w:r w:rsidR="00887139" w:rsidRPr="00887139">
        <w:t xml:space="preserve"> </w:t>
      </w:r>
      <w:r w:rsidR="00887139">
        <w:t>zinc intervention</w:t>
      </w:r>
      <w:r w:rsidR="00887139" w:rsidRPr="00887139">
        <w:t xml:space="preserve"> practices.</w:t>
      </w:r>
      <w:bookmarkEnd w:id="4"/>
    </w:p>
    <w:p w14:paraId="1CE91290" w14:textId="1D810FC3" w:rsidR="00D71121" w:rsidRDefault="00D71121" w:rsidP="00475B67">
      <w:pPr>
        <w:ind w:firstLine="480"/>
      </w:pPr>
      <w:r>
        <w:t xml:space="preserve">In China, nutrition policies have been implemented nationwide since the </w:t>
      </w:r>
      <w:r w:rsidR="00D220F2">
        <w:t xml:space="preserve">middle of the </w:t>
      </w:r>
      <w:r>
        <w:t>twent</w:t>
      </w:r>
      <w:r w:rsidR="00D220F2">
        <w:t>ieth</w:t>
      </w:r>
      <w:r>
        <w:t xml:space="preserve"> century. </w:t>
      </w:r>
      <w:r w:rsidR="00D220F2">
        <w:t xml:space="preserve">Various </w:t>
      </w:r>
      <w:r>
        <w:t>interventions</w:t>
      </w:r>
      <w:r w:rsidR="00D220F2">
        <w:t>,</w:t>
      </w:r>
      <w:r>
        <w:t xml:space="preserve"> such as distributi</w:t>
      </w:r>
      <w:r w:rsidR="00D220F2">
        <w:t>on of</w:t>
      </w:r>
      <w:r>
        <w:t xml:space="preserve"> </w:t>
      </w:r>
      <w:r w:rsidR="00D220F2">
        <w:t xml:space="preserve">supplements </w:t>
      </w:r>
      <w:r>
        <w:t>to vulnerable populations, large-scale food fortification, biofortification, and dietary diversification</w:t>
      </w:r>
      <w:r>
        <w:rPr>
          <w:rFonts w:hint="eastAsia"/>
        </w:rPr>
        <w:t>,</w:t>
      </w:r>
      <w:r>
        <w:t xml:space="preserve"> have been implemented through nutrition education</w:t>
      </w:r>
      <w:r w:rsidR="00702BCE">
        <w:t xml:space="preserve">, </w:t>
      </w:r>
      <w:r>
        <w:t xml:space="preserve">school lunch </w:t>
      </w:r>
      <w:r w:rsidR="007F6F4A">
        <w:t>programs</w:t>
      </w:r>
      <w:r w:rsidR="000064D3">
        <w:t xml:space="preserve"> and other initiatives</w:t>
      </w:r>
      <w:r w:rsidR="007F6F4A">
        <w:t xml:space="preserve">. </w:t>
      </w:r>
      <w:r w:rsidR="000064D3">
        <w:t xml:space="preserve">A </w:t>
      </w:r>
      <w:r>
        <w:t>summary of the</w:t>
      </w:r>
      <w:r w:rsidR="000064D3">
        <w:t xml:space="preserve"> Chinese</w:t>
      </w:r>
      <w:r>
        <w:t xml:space="preserve"> public health policies </w:t>
      </w:r>
      <w:r w:rsidR="000064D3">
        <w:t xml:space="preserve">to increase micronutrient intake </w:t>
      </w:r>
      <w:r w:rsidR="00D220F2">
        <w:t xml:space="preserve">since the 1990s </w:t>
      </w:r>
      <w:r w:rsidR="000064D3">
        <w:t xml:space="preserve">is provided </w:t>
      </w:r>
      <w:r>
        <w:t xml:space="preserve">in </w:t>
      </w:r>
      <w:r w:rsidR="008F381E">
        <w:t>Appendix A</w:t>
      </w:r>
      <w:r>
        <w:t>.</w:t>
      </w:r>
      <w:r w:rsidR="00F55927">
        <w:t xml:space="preserve"> Recent health policies </w:t>
      </w:r>
      <w:r w:rsidR="00D220F2">
        <w:t>covering multiple</w:t>
      </w:r>
      <w:r w:rsidR="00F55927">
        <w:t xml:space="preserve"> </w:t>
      </w:r>
      <w:r w:rsidR="00D220F2">
        <w:t xml:space="preserve">types of </w:t>
      </w:r>
      <w:r w:rsidR="00F55927">
        <w:t>intervention</w:t>
      </w:r>
      <w:r w:rsidR="00D220F2">
        <w:t>s</w:t>
      </w:r>
      <w:r w:rsidR="00F55927">
        <w:t xml:space="preserve">, such as food fortification, biofortification and dietary diversification, implied a shift of policy direction from medical care support to nutrition improvement. </w:t>
      </w:r>
      <w:r w:rsidR="000064D3">
        <w:t xml:space="preserve"> While t</w:t>
      </w:r>
      <w:r w:rsidR="007F6F4A">
        <w:t xml:space="preserve">hese </w:t>
      </w:r>
      <w:r w:rsidR="000064D3">
        <w:t xml:space="preserve">policies </w:t>
      </w:r>
      <w:r w:rsidR="007F6F4A">
        <w:t xml:space="preserve">conjointly </w:t>
      </w:r>
      <w:r w:rsidR="000064D3">
        <w:t xml:space="preserve">support efforts to increase </w:t>
      </w:r>
      <w:r w:rsidR="007F6F4A">
        <w:t xml:space="preserve">nutritional status </w:t>
      </w:r>
      <w:r w:rsidR="00F55927">
        <w:t xml:space="preserve">and alleviate stunting and malnutrition </w:t>
      </w:r>
      <w:r w:rsidR="007F6F4A">
        <w:t>in the previous decades</w:t>
      </w:r>
      <w:r w:rsidR="000064D3">
        <w:t xml:space="preserve">, China is </w:t>
      </w:r>
      <w:r w:rsidR="007F6F4A">
        <w:t>still confront</w:t>
      </w:r>
      <w:r w:rsidR="000064D3">
        <w:t>ed</w:t>
      </w:r>
      <w:r w:rsidR="007F6F4A">
        <w:t xml:space="preserve"> with limited resources and financial </w:t>
      </w:r>
      <w:r w:rsidR="00A00452">
        <w:lastRenderedPageBreak/>
        <w:t>constraints</w:t>
      </w:r>
      <w:r w:rsidR="007F6F4A">
        <w:t>,</w:t>
      </w:r>
      <w:r w:rsidR="00A00452">
        <w:t xml:space="preserve"> </w:t>
      </w:r>
      <w:r w:rsidR="002A1339">
        <w:t xml:space="preserve">calling for </w:t>
      </w:r>
      <w:r w:rsidR="00A00452">
        <w:t>priority setting of interventions.</w:t>
      </w:r>
    </w:p>
    <w:p w14:paraId="6C39A0B1" w14:textId="029ADC90" w:rsidR="00A00452" w:rsidRDefault="00D71121" w:rsidP="00475B67">
      <w:pPr>
        <w:ind w:firstLine="480"/>
      </w:pPr>
      <w:r w:rsidRPr="000A3ED3">
        <w:t xml:space="preserve">There is clear evidence that investing in </w:t>
      </w:r>
      <w:r w:rsidR="00DB556C">
        <w:t>micronutrient</w:t>
      </w:r>
      <w:r w:rsidR="00DB556C" w:rsidRPr="000A3ED3">
        <w:t xml:space="preserve"> </w:t>
      </w:r>
      <w:r w:rsidRPr="000A3ED3">
        <w:t>interventions can effectively reduce morbidities and mortalities</w:t>
      </w:r>
      <w:r w:rsidR="008307A8">
        <w:t xml:space="preserve"> induced by </w:t>
      </w:r>
      <w:r w:rsidR="008307A8" w:rsidRPr="000A3ED3">
        <w:t>zinc deficiency</w:t>
      </w:r>
      <w:r w:rsidRPr="000A3ED3">
        <w:t xml:space="preserve"> among the population. </w:t>
      </w:r>
      <w:r w:rsidR="00DB556C">
        <w:t>For instance, e</w:t>
      </w:r>
      <w:r w:rsidRPr="000A3ED3">
        <w:t xml:space="preserve">vidence on preventative zinc supplementation shows its potential to </w:t>
      </w:r>
      <w:r>
        <w:t>reduce</w:t>
      </w:r>
      <w:r w:rsidRPr="000A3ED3">
        <w:t xml:space="preserve"> pneumonia morbidity by 19% </w:t>
      </w:r>
      <w:r w:rsidRPr="000A3ED3">
        <w:fldChar w:fldCharType="begin" w:fldLock="1"/>
      </w:r>
      <w:r w:rsidR="00F417F3">
        <w:instrText>ADDIN CSL_CITATION {"citationItems":[{"id":"ITEM-1","itemData":{"ISSN":"1471-2458","author":[{"dropping-particle":"","family":"Yakoob","given":"Mohammad Yawar","non-dropping-particle":"","parse-names":false,"suffix":""},{"dropping-particle":"","family":"Theodoratou","given":"Evropi","non-dropping-particle":"","parse-names":false,"suffix":""},{"dropping-particle":"","family":"Jabeen","given":"Afshan","non-dropping-particle":"","parse-names":false,"suffix":""},{"dropping-particle":"","family":"Imdad","given":"Aamer","non-dropping-particle":"","parse-names":false,"suffix":""},{"dropping-particle":"","family":"Eisele","given":"Thomas P","non-dropping-particle":"","parse-names":false,"suffix":""},{"dropping-particle":"","family":"Ferguson","given":"Joy","non-dropping-particle":"","parse-names":false,"suffix":""},{"dropping-particle":"","family":"Jhass","given":"Arnoupe","non-dropping-particle":"","parse-names":false,"suffix":""},{"dropping-particle":"","family":"Rudan","given":"Igor","non-dropping-particle":"","parse-names":false,"suffix":""},{"dropping-particle":"","family":"Campbell","given":"Harry","non-dropping-particle":"","parse-names":false,"suffix":""},{"dropping-particle":"","family":"Black","given":"Robert E","non-dropping-particle":"","parse-names":false,"suffix":""}],"container-title":"BMC Public health","id":"ITEM-1","issue":"3","issued":{"date-parts":[["2011"]]},"page":"1-10","publisher":"BioMed Central","title":"Preventive zinc supplementation in developing countries: impact on mortality and morbidity due to diarrhea, pneumonia and malaria","type":"article-journal","volume":"11"},"uris":["http://www.mendeley.com/documents/?uuid=20a9ab95-66f3-41e4-8831-641477955686"]}],"mendeley":{"formattedCitation":"(Yakoob &lt;i&gt;et al.&lt;/i&gt;, 2011)","plainTextFormattedCitation":"(Yakoob et al., 2011)","previouslyFormattedCitation":"(Yakoob &lt;i&gt;et al.&lt;/i&gt;, 2011)"},"properties":{"noteIndex":0},"schema":"https://github.com/citation-style-language/schema/raw/master/csl-citation.json"}</w:instrText>
      </w:r>
      <w:r w:rsidRPr="000A3ED3">
        <w:fldChar w:fldCharType="separate"/>
      </w:r>
      <w:r w:rsidR="00F417F3" w:rsidRPr="00F417F3">
        <w:rPr>
          <w:noProof/>
        </w:rPr>
        <w:t xml:space="preserve">(Yakoob </w:t>
      </w:r>
      <w:r w:rsidR="00F417F3" w:rsidRPr="00F417F3">
        <w:rPr>
          <w:i/>
          <w:noProof/>
        </w:rPr>
        <w:t>et al.</w:t>
      </w:r>
      <w:r w:rsidR="00F417F3" w:rsidRPr="00F417F3">
        <w:rPr>
          <w:noProof/>
        </w:rPr>
        <w:t>, 2011)</w:t>
      </w:r>
      <w:r w:rsidRPr="000A3ED3">
        <w:fldChar w:fldCharType="end"/>
      </w:r>
      <w:r w:rsidRPr="000A3ED3">
        <w:t>. Randomized Controlled Trials</w:t>
      </w:r>
      <w:r w:rsidR="009D7D84">
        <w:t xml:space="preserve"> (RCTs)</w:t>
      </w:r>
      <w:r>
        <w:t xml:space="preserve"> also demonstrated that z</w:t>
      </w:r>
      <w:r w:rsidRPr="000A3ED3">
        <w:t xml:space="preserve">inc food fortification and biofortification </w:t>
      </w:r>
      <w:r w:rsidR="00F55927">
        <w:t xml:space="preserve">could </w:t>
      </w:r>
      <w:r>
        <w:t>lower</w:t>
      </w:r>
      <w:r w:rsidRPr="000A3ED3">
        <w:t xml:space="preserve"> the </w:t>
      </w:r>
      <w:r>
        <w:t>incidence</w:t>
      </w:r>
      <w:r w:rsidRPr="000A3ED3">
        <w:t xml:space="preserve"> of pneumonia, vomiting, and diarrhea </w:t>
      </w:r>
      <w:r w:rsidRPr="000A3ED3">
        <w:fldChar w:fldCharType="begin" w:fldLock="1"/>
      </w:r>
      <w:r w:rsidR="001A20B6">
        <w:instrText xml:space="preserve">ADDIN CSL_CITATION {"citationItems":[{"id":"ITEM-1","itemData":{"DOI":"10.1186/s12937-018-0391-5","ISSN":"14752891","PMID":"30219062","abstract":"Background: Biofortification of staple food crops with zinc (Zn) can be one of the cost-effective and sustainable strategies to combat zinc deficiency and prevent morbidity among the target population. Agronomic approaches such as application of Zn fertilizers to soil and/or foliar spray seem to be a practical tool for Zn biofortification of wheat. However, there is a need to evaluate its efficacy from randomized controlled trials. This study aimed to evaluate the efficacy of zinc biofortified wheat flour on zinc status and its impact on morbidity among children aged 4-6 years and non-pregnant non lactating woman of child bearing age (WCBA) in Delhi, India. Methods: In a community based, double-masked randomized controlled trial, 6005 participants (WCBA and child pairs) were enrolled and randomly allocated to receive either high zinc biofortified wheat flour (HZn, 30 ppm zinc daily) or low zinc biofortified wheat flour (LZn, 20 ppm zinc daily) for 6 months (WCBA @ 360 g/day and children @ 120 g/day). Baseline and endline blood samples were obtained for assessing hematological markers; zinc status and data on compliance and morbidity were collected. Results: Compliance rates were high; </w:instrText>
      </w:r>
      <w:r w:rsidR="001A20B6">
        <w:rPr>
          <w:rFonts w:ascii="Cambria Math" w:hAnsi="Cambria Math" w:cs="Cambria Math"/>
        </w:rPr>
        <w:instrText>∼</w:instrText>
      </w:r>
      <w:r w:rsidR="001A20B6">
        <w:instrText xml:space="preserve"> 88% of the WCBAs in both the groups consumed 50% or more of recommended amount of biofortfied wheat flour during the follow up. Similarly 86.9% children in HZn and 87.5% in LZn consumed 50% or more of recommended wheat flour intake. There was no significant difference in mean zinc levels between the groups at end study. This observation might be due to a marginal difference in zinc content (10 ppm) between the HZn and LZn wheat flour, and a short intervention period. However a positive impact of bio-fortification on self-reported morbidity was observed. Compared to children in LZn group, children in HZn group had 17% (95% CI: 6 to 31%, p = 0.05) and 40% (95% CI: 16 to 57%; p = 0.0019) reduction in days with pneumonia and vomiting respectively. WCBA in the HZn group also showed a statistically significant 9% fewer days with fever compared to LZn group. Conclusions: Biofortified wheat flour had a good compliance among children and WCBAs. Significant improvement on some of the self-reported morbidity indicators suggests that evaluating longer-term effects of biofortification with higher grain zinc content would be more appropriate. Trial registration: http://ctri.nic.in/Clinicaltrials/, CTRI/2014/04/004527, Registered April 7, 2014.","author":[{"dropping-particle":"","family":"Sazawal","given":"Sunil","non-dropping-particle":"","parse-names":false,"suffix":""},{"dropping-particle":"","family":"Dhingra","given":"Usha","non-dropping-particle":"","parse-names":false,"suffix":""},{"dropping-particle":"","family":"Dhingra","given":"Pratibha","non-dropping-particle":"","parse-names":false,"suffix":""},{"dropping-particle":"","family":"Dutta","given":"Arup","non-dropping-particle":"","parse-names":false,"suffix":""},{"dropping-particle":"","family":"Deb","given":"Saikat","non-dropping-particle":"","parse-names":false,"suffix":""},{"dropping-particle":"","family":"Kumar","given":"Jitendra","non-dropping-particle":"","parse-names":false,"suffix":""},{"dropping-particle":"","family":"Devi","given":"Prabhabati","non-dropping-particle":"","parse-names":false,"suffix":""},{"dropping-particle":"","family":"Prakash","given":"Ashish","non-dropping-particle":"","parse-names":false,"suffix":""}],"container-title":"Nutrition Journal","id":"ITEM-1","issued":{"date-parts":[["2018"]]},"page":"86","publisher":"Nutrition Journal","title":"Efficacy of high zinc biofortified wheat in improvement of micronutrient status, and prevention of morbidity among preschool children and women - A double masked, randomized, controlled trial 11 Medical and Health Sciences 1117 Public Health and Health Se","type":"article-journal","volume":"17"},"uris":["http://www.mendeley.com/documents/?uuid=8921160c-7053-433e-9715-bab689dbb674"]},{"id":"ITEM-2","itemData":{"ISSN":"0022-3476","author":[{"dropping-particle":"","family":"Bahl","given":"Rajiv","non-dropping-particle":"","parse-names":false,"suffix":""},{"dropping-particle":"","family":"Bhandari","given":"Nita","non-dropping-particle":"","parse-names":false,"suffix":""},{"dropping-particle":"","family":"Saksena","given":"Manju","non-dropping-particle":"","parse-names":false,"suffix":""},{"dropping-particle":"","family":"Strand","given":"Tor","non-dropping-particle":"","parse-names":false,"suffix":""},{"dropping-particle":"","family":"Kumar","given":"Geeta T","non-dropping-particle":"","parse-names":false,"suffix":""},{"dropping-particle":"","family":"Bhan","given":"Maharaj K","non-dropping-particle":"","parse-names":false,"suffix":""},{"dropping-particle":"","family":"Sommerfelt","given":"Halvor","non-dropping-particle":"","parse-names":false,"suffix":""}],"container-title":"The Journal of pediatrics","id":"ITEM-2","issue":"5","issued":{"date-parts":[["2002"]]},"page":"677-682","publisher":"Elsevier","title":"Efficacy of zinc-fortified oral rehydration solution in 6-to 35-month-old children with acute diarrhea","type":"article-journal","volume":"141"},"uris":["http://www.mendeley.com/documents/?uuid=ee481f24-6a74-4bea-95d5-6b37d0af6497"]}],"mendeley":{"formattedCitation":"(Bahl &lt;i&gt;et al.&lt;/i&gt;, 2002; Sazawal &lt;i&gt;et al.&lt;/i&gt;, 2018)","plainTextFormattedCitation":"(Bahl et al., 2002; Sazawal et al., 2018)","previouslyFormattedCitation":"(Bahl &lt;i&gt;et al.&lt;/i&gt;, 2002; Sazawal &lt;i&gt;et al.&lt;/i&gt;, 2018)"},"properties":{"noteIndex":0},"schema":"https://github.com/citation-style-language/schema/raw/master/csl-citation.json"}</w:instrText>
      </w:r>
      <w:r w:rsidRPr="000A3ED3">
        <w:fldChar w:fldCharType="separate"/>
      </w:r>
      <w:r w:rsidR="00F417F3" w:rsidRPr="00F417F3">
        <w:rPr>
          <w:noProof/>
        </w:rPr>
        <w:t xml:space="preserve">(Bahl </w:t>
      </w:r>
      <w:r w:rsidR="00F417F3" w:rsidRPr="00F417F3">
        <w:rPr>
          <w:i/>
          <w:noProof/>
        </w:rPr>
        <w:t>et al.</w:t>
      </w:r>
      <w:r w:rsidR="00F417F3" w:rsidRPr="00F417F3">
        <w:rPr>
          <w:noProof/>
        </w:rPr>
        <w:t xml:space="preserve">, 2002; Sazawal </w:t>
      </w:r>
      <w:r w:rsidR="00F417F3" w:rsidRPr="00F417F3">
        <w:rPr>
          <w:i/>
          <w:noProof/>
        </w:rPr>
        <w:t>et al.</w:t>
      </w:r>
      <w:r w:rsidR="00F417F3" w:rsidRPr="00F417F3">
        <w:rPr>
          <w:noProof/>
        </w:rPr>
        <w:t>, 2018)</w:t>
      </w:r>
      <w:r w:rsidRPr="000A3ED3">
        <w:fldChar w:fldCharType="end"/>
      </w:r>
      <w:r w:rsidRPr="000A3ED3">
        <w:t xml:space="preserve">. </w:t>
      </w:r>
    </w:p>
    <w:p w14:paraId="3E88E0F8" w14:textId="03BB10CB" w:rsidR="00035381" w:rsidRPr="0064292E" w:rsidRDefault="00D71121" w:rsidP="00475B67">
      <w:pPr>
        <w:ind w:firstLine="480"/>
        <w:rPr>
          <w:lang w:val="nl-BE"/>
        </w:rPr>
      </w:pPr>
      <w:r w:rsidRPr="000A3ED3">
        <w:t xml:space="preserve">In terms of economic </w:t>
      </w:r>
      <w:r w:rsidR="00100C52">
        <w:t>assessment</w:t>
      </w:r>
      <w:r w:rsidRPr="000A3ED3">
        <w:t xml:space="preserve">, </w:t>
      </w:r>
      <w:r w:rsidR="00565304">
        <w:t>dietary diversification is typically considered to be the most effective strategy to address zinc deficienc</w:t>
      </w:r>
      <w:r w:rsidR="00AB152C">
        <w:t>y</w:t>
      </w:r>
      <w:r w:rsidR="00565304">
        <w:t xml:space="preserve"> and generate</w:t>
      </w:r>
      <w:r w:rsidR="0039520C">
        <w:t xml:space="preserve"> </w:t>
      </w:r>
      <w:r w:rsidR="00565304">
        <w:t xml:space="preserve">health benefits </w:t>
      </w:r>
      <w:r w:rsidR="00565304" w:rsidRPr="00A00452">
        <w:fldChar w:fldCharType="begin" w:fldLock="1"/>
      </w:r>
      <w:r w:rsidR="00F417F3">
        <w:instrText>ADDIN CSL_CITATION {"citationItems":[{"id":"ITEM-1","itemData":{"ISSN":"1932-6203","author":[{"dropping-particle":"","family":"Muthayya","given":"Sumithra","non-dropping-particle":"","parse-names":false,"suffix":""},{"dropping-particle":"","family":"Rah","given":"Jee Hyun","non-dropping-particle":"","parse-names":false,"suffix":""},{"dropping-particle":"","family":"Sugimoto","given":"Jonathan D","non-dropping-particle":"","parse-names":false,"suffix":""},{"dropping-particle":"","family":"Roos","given":"Franz F","non-dropping-particle":"","parse-names":false,"suffix":""},{"dropping-particle":"","family":"Kraemer","given":"Klaus","non-dropping-particle":"","parse-names":false,"suffix":""},{"dropping-particle":"","family":"Black","given":"Robert E","non-dropping-particle":"","parse-names":false,"suffix":""}],"container-title":"PloS one","id":"ITEM-1","issue":"6","issued":{"date-parts":[["2013"]]},"page":"e67860","publisher":"Public Library of Science San Francisco, USA","title":"The global hidden hunger indices and maps: an advocacy tool for action","type":"article-journal","volume":"8"},"uris":["http://www.mendeley.com/documents/?uuid=0de937ed-1da5-49ac-893a-c29f7451f634"]}],"mendeley":{"formattedCitation":"(Muthayya &lt;i&gt;et al.&lt;/i&gt;, 2013)","plainTextFormattedCitation":"(Muthayya et al., 2013)","previouslyFormattedCitation":"(Muthayya &lt;i&gt;et al.&lt;/i&gt;, 2013)"},"properties":{"noteIndex":0},"schema":"https://github.com/citation-style-language/schema/raw/master/csl-citation.json"}</w:instrText>
      </w:r>
      <w:r w:rsidR="00565304" w:rsidRPr="00A00452">
        <w:fldChar w:fldCharType="separate"/>
      </w:r>
      <w:r w:rsidR="00F417F3" w:rsidRPr="00F417F3">
        <w:rPr>
          <w:noProof/>
        </w:rPr>
        <w:t xml:space="preserve">(Muthayya </w:t>
      </w:r>
      <w:r w:rsidR="00F417F3" w:rsidRPr="00F417F3">
        <w:rPr>
          <w:i/>
          <w:noProof/>
        </w:rPr>
        <w:t>et al.</w:t>
      </w:r>
      <w:r w:rsidR="00F417F3" w:rsidRPr="00F417F3">
        <w:rPr>
          <w:noProof/>
        </w:rPr>
        <w:t>, 2013)</w:t>
      </w:r>
      <w:r w:rsidR="00565304" w:rsidRPr="00A00452">
        <w:fldChar w:fldCharType="end"/>
      </w:r>
      <w:r w:rsidR="00A00452" w:rsidRPr="00A00452">
        <w:t xml:space="preserve">, </w:t>
      </w:r>
      <w:r w:rsidR="0039520C">
        <w:t xml:space="preserve">but </w:t>
      </w:r>
      <w:r w:rsidR="00565304" w:rsidRPr="00963381">
        <w:t xml:space="preserve">the affordability </w:t>
      </w:r>
      <w:r w:rsidR="00D73483" w:rsidRPr="00963381">
        <w:t xml:space="preserve">for </w:t>
      </w:r>
      <w:r w:rsidR="00565304" w:rsidRPr="00963381">
        <w:t xml:space="preserve">low-income </w:t>
      </w:r>
      <w:r w:rsidR="0092796D" w:rsidRPr="00A00452">
        <w:t>residents</w:t>
      </w:r>
      <w:r w:rsidR="0092796D" w:rsidRPr="00963381">
        <w:t xml:space="preserve"> </w:t>
      </w:r>
      <w:r w:rsidR="00565304" w:rsidRPr="00963381">
        <w:t xml:space="preserve">and </w:t>
      </w:r>
      <w:r w:rsidR="00A1598E" w:rsidRPr="00A00452">
        <w:t xml:space="preserve">the </w:t>
      </w:r>
      <w:r w:rsidR="00565304" w:rsidRPr="00963381">
        <w:t>accessibility of nutritious food in remote areas</w:t>
      </w:r>
      <w:r w:rsidR="00D73483" w:rsidRPr="00963381">
        <w:t xml:space="preserve"> are</w:t>
      </w:r>
      <w:r w:rsidR="00565304" w:rsidRPr="00963381">
        <w:t xml:space="preserve"> vital </w:t>
      </w:r>
      <w:r w:rsidR="00D73483" w:rsidRPr="00963381">
        <w:t xml:space="preserve">constraints for promoting </w:t>
      </w:r>
      <w:r w:rsidR="00A00452" w:rsidRPr="00963381">
        <w:t>this</w:t>
      </w:r>
      <w:r w:rsidR="00565304" w:rsidRPr="00963381">
        <w:t xml:space="preserve"> intervention in rural areas.</w:t>
      </w:r>
      <w:r w:rsidR="00565304" w:rsidRPr="00783858">
        <w:t xml:space="preserve"> A</w:t>
      </w:r>
      <w:r w:rsidR="00565304">
        <w:t xml:space="preserve">ccording to </w:t>
      </w:r>
      <w:r w:rsidR="00565304">
        <w:fldChar w:fldCharType="begin" w:fldLock="1"/>
      </w:r>
      <w:r w:rsidR="00F417F3">
        <w:instrText>ADDIN CSL_CITATION {"citationItems":[{"id":"ITEM-1","itemData":{"DOI":"10.1017/S1368980007001085","ISBN":"1368980007","ISSN":"13689800","PMID":"17894916","abstract":"In order to prioritise interventions for micronutrient deficiencies in China, the populations affected by iron and zinc deficiencies were assessed based on data from the 2002 China National Nutrition and Health Survey. The costs and cost-effectiveness of supplementation, food diversification and food fortification were estimated using the standard World Health Organization ingredients approach. Results indicated that 30% of children (&lt;2 years), adults (&gt;60 years), pregnant and lactating women, and 20% of women of reproductive age were anaemic, some 245 million people. Approximately 100 million people were affected by zinc deficiency (zinc intake inadequacy and stunting), the majority living in rural areas. Among interventions on iron and zinc deficiency, biofortification showed the lowest costs per capita, I%0.01 (international dollars), while dietary diversification through health education represented the highest costs at I%1148. The cost-effectiveness of supplementation, food fortification and dietary diversification for iron deficiency alone was I%179, I%66 and I%103 per disability-adjusted life-year (DALY), respectively. Data for biofortification were not available. For zinc deficiency, the corresponding figures were I%399, I%153 and I%103 per DALY, respectively. In conclusion, iron and zinc deficiencies are of great public health concern in China. Of the two long-term intervention strategies, i.e. dietary diversification and biofortification with improved varieties, the latter is especially feasible and cost-effective for rural populations. Supplementation and fortification can be used as short-term strategies for specific groups. © The Authors 2007.","author":[{"dropping-particle":"","family":"Ma","given":"Guansheng","non-dropping-particle":"","parse-names":false,"suffix":""},{"dropping-particle":"","family":"Jin","given":"Ying","non-dropping-particle":"","parse-names":false,"suffix":""},{"dropping-particle":"","family":"Li","given":"Yanping","non-dropping-particle":"","parse-names":false,"suffix":""},{"dropping-particle":"","family":"Zhai","given":"Fengying","non-dropping-particle":"","parse-names":false,"suffix":""},{"dropping-particle":"","family":"Kok","given":"Frans J.","non-dropping-particle":"","parse-names":false,"suffix":""},{"dropping-particle":"","family":"Jacobsen","given":"Evert","non-dropping-particle":"","parse-names":false,"suffix":""},{"dropping-particle":"","family":"Yang","given":"Xiaoguang","non-dropping-particle":"","parse-names":false,"suffix":""}],"container-title":"Public Health Nutrition","id":"ITEM-1","issue":"6","issued":{"date-parts":[["2008"]]},"page":"632-638","title":"Iron and zinc deficiencies in China: What is a feasible and cost-effective strategy?","type":"article-journal","volume":"11"},"uris":["http://www.mendeley.com/documents/?uuid=17d310ba-beee-4d32-a0aa-87eaa67276db"]}],"mendeley":{"formattedCitation":"(Ma, Jin, Li, Zhai, Frans J. Kok, &lt;i&gt;et al.&lt;/i&gt;, 2008)","manualFormatting":"Ma et al.(2008)","plainTextFormattedCitation":"(Ma, Jin, Li, Zhai, Frans J. Kok, et al., 2008)","previouslyFormattedCitation":"(Ma, Jin, Li, Zhai, Frans J. Kok, &lt;i&gt;et al.&lt;/i&gt;, 2008)"},"properties":{"noteIndex":0},"schema":"https://github.com/citation-style-language/schema/raw/master/csl-citation.json"}</w:instrText>
      </w:r>
      <w:r w:rsidR="00565304">
        <w:fldChar w:fldCharType="separate"/>
      </w:r>
      <w:r w:rsidR="00565304">
        <w:rPr>
          <w:noProof/>
        </w:rPr>
        <w:t>Ma et al.(2008)</w:t>
      </w:r>
      <w:r w:rsidR="00565304">
        <w:fldChar w:fldCharType="end"/>
      </w:r>
      <w:r w:rsidR="00565304">
        <w:t>, dietary diversity education in China was associated with the highest intervention cost per capita, I$1,148 (international dollar</w:t>
      </w:r>
      <w:r w:rsidR="00A1598E">
        <w:t>s</w:t>
      </w:r>
      <w:r w:rsidR="00565304">
        <w:t xml:space="preserve">), which is 1,148,000 times higher than biofortification (I$0.01) and food fortification (I$0.01), and 229,600 times higher than zinc supplementation (I$0.05). Furthermore, the </w:t>
      </w:r>
      <w:r w:rsidR="00573F51">
        <w:t xml:space="preserve">accessibility </w:t>
      </w:r>
      <w:r w:rsidR="00565304">
        <w:t>of a diversified diet</w:t>
      </w:r>
      <w:r w:rsidR="00AB152C">
        <w:t>s</w:t>
      </w:r>
      <w:r w:rsidR="00565304">
        <w:t xml:space="preserve"> is also limited by incomplete market development </w:t>
      </w:r>
      <w:r w:rsidR="00565304">
        <w:fldChar w:fldCharType="begin" w:fldLock="1"/>
      </w:r>
      <w:r w:rsidR="00F417F3">
        <w:instrText>ADDIN CSL_CITATION {"citationItems":[{"id":"ITEM-1","itemData":{"ISBN":"0002-9092","author":[{"dropping-particle":"","family":"Headey","given":"Derek","non-dropping-particle":"","parse-names":false,"suffix":""},{"dropping-particle":"","family":"Hirvonen","given":"Kalle","non-dropping-particle":"","parse-names":false,"suffix":""},{"dropping-particle":"","family":"Hoddinott","given":"John","non-dropping-particle":"","parse-names":false,"suffix":""},{"dropping-particle":"","family":"Stifel","given":"David","non-dropping-particle":"","parse-names":false,"suffix":""}],"id":"ITEM-1","issued":{"date-parts":[["2019"]]},"publisher":"Wiley Online Library","title":"Rural food markets and child nutrition","type":"article"},"uris":["http://www.mendeley.com/documents/?uuid=3c7467b6-b052-4594-81ac-4e5383529c01"]},{"id":"ITEM-2","itemData":{"DOI":"https://doi.org/10.1016/j.worlddev.2015.03.016","ISSN":"0305-750X","abstract":"Summary\nMany developing countries experience a food system transformation with a rapid growth of supermarkets. We analyze impacts of supermarkets on farm household nutrition with survey data from Kenya. Participation in supermarket channels is associated with significantly higher calorie, vitamin A, iron, and zinc consumption. We use simultaneous equation models to analyze impact pathways. Supermarket-supplying households have higher incomes, a higher share of land under vegetables, and a higher likelihood of male control of revenues. Furthermore, income and the share of land under vegetables have positive impacts, while male control of revenues has negative impacts on dietary quality. Policy and further research implications are discussed.","author":[{"dropping-particle":"","family":"Chege","given":"Christine G K","non-dropping-particle":"","parse-names":false,"suffix":""},{"dropping-particle":"","family":"Andersson","given":"Camilla I M","non-dropping-particle":"","parse-names":false,"suffix":""},{"dropping-particle":"","family":"Qaim","given":"Matin","non-dropping-particle":"","parse-names":false,"suffix":""}],"container-title":"World Development","id":"ITEM-2","issued":{"date-parts":[["2015"]]},"page":"394-407","title":"Impacts of Supermarkets on Farm Household Nutrition in Kenya","type":"article-journal","volume":"72"},"uris":["http://www.mendeley.com/documents/?uuid=8482a22f-dbc2-4a62-8b18-26eacb3d68d2"]},{"id":"ITEM-3","itemData":{"DOI":"https://doi.org/10.1016/j.gfs.2020.100486","ISSN":"2211-9124","abstract":"Food markets have been found to be, in many settings, important in shaping diets and nutritional outcomes. However, more evidence and improved metrics are needed to understand these relationships. We examined relationships between food market participation and household dietary diversity in populations of rural Malawi facing hunger and poor nutrition. We analysed, using Poisson regression, survey data from 400 households in two districts of rural Malawi in post-harvest and lean seasons of 2017/18. We also developed a new metric of food purchases to support our examination of food market participation. The findings include clear associations between food purchase diversity and household dietary diversity, and suggest households engaging more with food markets are more likely to have diversified diets and better nutrition.","author":[{"dropping-particle":"","family":"Matita","given":"Mirriam","non-dropping-particle":"","parse-names":false,"suffix":""},{"dropping-particle":"","family":"Chirwa","given":"Ephraim W","non-dropping-particle":"","parse-names":false,"suffix":""},{"dropping-particle":"","family":"Johnston","given":"Deborah","non-dropping-particle":"","parse-names":false,"suffix":""},{"dropping-particle":"","family":"Mazalale","given":"Jacob","non-dropping-particle":"","parse-names":false,"suffix":""},{"dropping-particle":"","family":"Smith","given":"Richard","non-dropping-particle":"","parse-names":false,"suffix":""},{"dropping-particle":"","family":"Walls","given":"Helen","non-dropping-particle":"","parse-names":false,"suffix":""}],"container-title":"Global Food Security","id":"ITEM-3","issued":{"date-parts":[["2021"]]},"page":"100486","title":"Does household participation in food markets increase dietary diversity? Evidence from rural Malawi","type":"article-journal","volume":"28"},"uris":["http://www.mendeley.com/documents/?uuid=7d6b22f4-cd97-4134-a9dd-58399434cd3b"]}],"mendeley":{"formattedCitation":"(Chege, Andersson and Qaim, 2015; Headey &lt;i&gt;et al.&lt;/i&gt;, 2019; Matita &lt;i&gt;et al.&lt;/i&gt;, 2021)","plainTextFormattedCitation":"(Chege, Andersson and Qaim, 2015; Headey et al., 2019; Matita et al., 2021)","previouslyFormattedCitation":"(Chege, Andersson and Qaim, 2015; Headey &lt;i&gt;et al.&lt;/i&gt;, 2019; Matita &lt;i&gt;et al.&lt;/i&gt;, 2021)"},"properties":{"noteIndex":0},"schema":"https://github.com/citation-style-language/schema/raw/master/csl-citation.json"}</w:instrText>
      </w:r>
      <w:r w:rsidR="00565304">
        <w:fldChar w:fldCharType="separate"/>
      </w:r>
      <w:r w:rsidR="00F417F3" w:rsidRPr="00F417F3">
        <w:rPr>
          <w:noProof/>
        </w:rPr>
        <w:t xml:space="preserve">(Chege, Andersson and Qaim, 2015; Headey </w:t>
      </w:r>
      <w:r w:rsidR="00F417F3" w:rsidRPr="00F417F3">
        <w:rPr>
          <w:i/>
          <w:noProof/>
        </w:rPr>
        <w:t>et al.</w:t>
      </w:r>
      <w:r w:rsidR="00F417F3" w:rsidRPr="00F417F3">
        <w:rPr>
          <w:noProof/>
        </w:rPr>
        <w:t xml:space="preserve">, 2019; Matita </w:t>
      </w:r>
      <w:r w:rsidR="00F417F3" w:rsidRPr="00F417F3">
        <w:rPr>
          <w:i/>
          <w:noProof/>
        </w:rPr>
        <w:t>et al.</w:t>
      </w:r>
      <w:r w:rsidR="00F417F3" w:rsidRPr="00F417F3">
        <w:rPr>
          <w:noProof/>
        </w:rPr>
        <w:t>, 2021)</w:t>
      </w:r>
      <w:r w:rsidR="00565304">
        <w:fldChar w:fldCharType="end"/>
      </w:r>
      <w:r w:rsidR="00565304">
        <w:t xml:space="preserve">. </w:t>
      </w:r>
      <w:r w:rsidR="001F7034">
        <w:fldChar w:fldCharType="begin" w:fldLock="1"/>
      </w:r>
      <w:r w:rsidR="00F417F3">
        <w:instrText>ADDIN CSL_CITATION {"citationItems":[{"id":"ITEM-1","itemData":{"DOI":"https://doi.org/10.1016/j.foodpol.2019.03.002","ISSN":"0306-9192","abstract":"The market-oriented reform in China in the past 4 decades has greatly reshaped the consumption pattern in rural areas. In particular, farmers’ diets are more likely to depend on food market development such as food accessibility. This study investigates the role of food accessibility in the transition of dietary pattern in rural China by using the China Health and Nutrition Survey data (1997–2011) and whether food accessibility helps alleviate the deviation between farmers’ dietary pattern and the recommended dietary pattern according to China Food Pagoda 2016. The primary results indicate that food accessibility contributes to improvements in quality. In particular, food accessibility increases the consumption of oil and decreases the consumption of cereal, potatoes, and beans; fruits; vegetables; and salt. Further estimation finds evidence that along with increasing food accessibility, fruit is converging to the recommended dietary pattern in China Food Pagoda 2016, and the deviations of legumes, nuts, and oil are increasing. We also observe that the impact of food accessibility on dietary quality is stronger for those not engaged in agriculture production. Our study provides valuable implications for rural development and nutrition security in the developing world.","author":[{"dropping-particle":"","family":"Huang","given":"Yingying","non-dropping-particle":"","parse-names":false,"suffix":""},{"dropping-particle":"","family":"Tian","given":"Xu","non-dropping-particle":"","parse-names":false,"suffix":""}],"container-title":"Food Policy","id":"ITEM-1","issued":{"date-parts":[["2019"]]},"page":"92-102","title":"Food accessibility, diversity of agricultural production and dietary pattern in rural China","type":"article-journal","volume":"84"},"uris":["http://www.mendeley.com/documents/?uuid=a5c2b3e0-7efe-4fb8-b802-6e3a9a9ceab1"]}],"mendeley":{"formattedCitation":"(Huang and Tian, 2019)","manualFormatting":"Huang and Tian (2019)","plainTextFormattedCitation":"(Huang and Tian, 2019)","previouslyFormattedCitation":"(Huang and Tian, 2019)"},"properties":{"noteIndex":0},"schema":"https://github.com/citation-style-language/schema/raw/master/csl-citation.json"}</w:instrText>
      </w:r>
      <w:r w:rsidR="001F7034">
        <w:fldChar w:fldCharType="separate"/>
      </w:r>
      <w:r w:rsidR="001F7034" w:rsidRPr="001F7034">
        <w:rPr>
          <w:noProof/>
        </w:rPr>
        <w:t xml:space="preserve">Huang </w:t>
      </w:r>
      <w:r w:rsidR="001F7034">
        <w:rPr>
          <w:noProof/>
        </w:rPr>
        <w:t>and</w:t>
      </w:r>
      <w:r w:rsidR="001F7034" w:rsidRPr="001F7034">
        <w:rPr>
          <w:noProof/>
        </w:rPr>
        <w:t xml:space="preserve"> Tian </w:t>
      </w:r>
      <w:r w:rsidR="001F7034">
        <w:rPr>
          <w:noProof/>
        </w:rPr>
        <w:t>(</w:t>
      </w:r>
      <w:r w:rsidR="001F7034" w:rsidRPr="001F7034">
        <w:rPr>
          <w:noProof/>
        </w:rPr>
        <w:t>2019)</w:t>
      </w:r>
      <w:r w:rsidR="001F7034">
        <w:fldChar w:fldCharType="end"/>
      </w:r>
      <w:r w:rsidR="001F7034">
        <w:t xml:space="preserve"> </w:t>
      </w:r>
      <w:r w:rsidR="003411C6">
        <w:t xml:space="preserve">indicated that </w:t>
      </w:r>
      <w:r w:rsidR="001F7034">
        <w:t xml:space="preserve">food market </w:t>
      </w:r>
      <w:r w:rsidR="003411C6">
        <w:t xml:space="preserve">accessibility would </w:t>
      </w:r>
      <w:r w:rsidR="002E5966" w:rsidRPr="002E5966">
        <w:t xml:space="preserve">drastically </w:t>
      </w:r>
      <w:r w:rsidR="003411C6">
        <w:t>impact</w:t>
      </w:r>
      <w:r w:rsidR="001F7034">
        <w:t xml:space="preserve"> the dietary pattern</w:t>
      </w:r>
      <w:r w:rsidR="0078289F">
        <w:t>s</w:t>
      </w:r>
      <w:r w:rsidR="001F7034">
        <w:t xml:space="preserve"> in rural China</w:t>
      </w:r>
      <w:r w:rsidR="003411C6">
        <w:t xml:space="preserve">, especially for residents </w:t>
      </w:r>
      <w:r w:rsidR="00777D0C">
        <w:t xml:space="preserve">that are </w:t>
      </w:r>
      <w:r w:rsidR="003411C6">
        <w:t>not engaged in agriculture production</w:t>
      </w:r>
      <w:r w:rsidR="001F7034">
        <w:t>.</w:t>
      </w:r>
      <w:r w:rsidR="002E5966">
        <w:t xml:space="preserve"> </w:t>
      </w:r>
      <w:r w:rsidR="00565304">
        <w:t xml:space="preserve">Meanwhile, </w:t>
      </w:r>
      <w:r w:rsidR="009E60CC">
        <w:rPr>
          <w:rFonts w:hint="eastAsia"/>
        </w:rPr>
        <w:t>t</w:t>
      </w:r>
      <w:r w:rsidR="00565304">
        <w:t>he distribution of supplements</w:t>
      </w:r>
      <w:r w:rsidR="009E60CC">
        <w:t xml:space="preserve">, although commonly used for preventing </w:t>
      </w:r>
      <w:r w:rsidR="00EE72F4">
        <w:t>micronutrient</w:t>
      </w:r>
      <w:r w:rsidR="009E60CC">
        <w:t xml:space="preserve"> deficienc</w:t>
      </w:r>
      <w:r w:rsidR="00AB152C">
        <w:t>y</w:t>
      </w:r>
      <w:r w:rsidR="009E60CC">
        <w:t>,</w:t>
      </w:r>
      <w:r w:rsidR="00565304">
        <w:t xml:space="preserve"> requires capital investment and public medical education costs, which significantly burden local </w:t>
      </w:r>
      <w:r w:rsidR="004A455F">
        <w:t xml:space="preserve">health system </w:t>
      </w:r>
      <w:r w:rsidR="00565304">
        <w:t>spending</w:t>
      </w:r>
      <w:r w:rsidR="004A455F">
        <w:t xml:space="preserve"> </w:t>
      </w:r>
      <w:r w:rsidR="004A455F">
        <w:fldChar w:fldCharType="begin" w:fldLock="1"/>
      </w:r>
      <w:r w:rsidR="00F417F3">
        <w:instrText>ADDIN CSL_CITATION {"citationItems":[{"id":"ITEM-1","itemData":{"DOI":"https://doi.org/10.1016/B978-0-12-812491-8.00070-9","ISBN":"978-0-12-812491-8","abstract":"Non-vitamin and non-mineral (NVNM) nutritional supplements are an excellent source of a multitude of putative health benefits. In this chapter, the main reasons for their increasing popularity are addressed as well as the concerns regarding their safety and quality. Future requirements of NVNM nutritional supplements are also assessed in order to assure the health protection of consumers. These include large randomized, double-blind clinical studies to provide more evidence on the clinical efficacy and safety of these products.","author":[{"dropping-particle":"","family":"Silva","given":"Ana Sanches","non-dropping-particle":"","parse-names":false,"suffix":""},{"dropping-particle":"","family":"Nabavi","given":"Seyed Mohammad","non-dropping-particle":"","parse-names":false,"suffix":""}],"container-title":"Nonvitamin and Nonmineral Nutritional Supplements","editor":[{"dropping-particle":"","family":"Nabavi","given":"Seyed Mohammad","non-dropping-particle":"","parse-names":false,"suffix":""},{"dropping-particle":"","family":"Silva","given":"Ana Sanches","non-dropping-particle":"","parse-names":false,"suffix":""}],"id":"ITEM-1","issued":{"date-parts":[["2019"]]},"page":"541-543","publisher":"Academic Press","title":"Challenges and Foresight of Food Supplements","type":"chapter"},"uris":["http://www.mendeley.com/documents/?uuid=9c57cbac-dd7b-4ec0-881e-bd917b20ad08"]}],"mendeley":{"formattedCitation":"(Silva and Nabavi, 2019)","manualFormatting":"(Silva and Nabavi, 2019)","plainTextFormattedCitation":"(Silva and Nabavi, 2019)","previouslyFormattedCitation":"(Silva and Nabavi, 2019)"},"properties":{"noteIndex":0},"schema":"https://github.com/citation-style-language/schema/raw/master/csl-citation.json"}</w:instrText>
      </w:r>
      <w:r w:rsidR="004A455F">
        <w:fldChar w:fldCharType="separate"/>
      </w:r>
      <w:r w:rsidR="004A455F" w:rsidRPr="004A455F">
        <w:rPr>
          <w:noProof/>
        </w:rPr>
        <w:t xml:space="preserve">(Silva </w:t>
      </w:r>
      <w:r w:rsidR="0092796D">
        <w:rPr>
          <w:noProof/>
        </w:rPr>
        <w:t>and</w:t>
      </w:r>
      <w:r w:rsidR="004A455F" w:rsidRPr="004A455F">
        <w:rPr>
          <w:noProof/>
        </w:rPr>
        <w:t xml:space="preserve"> Nabavi, 2019)</w:t>
      </w:r>
      <w:r w:rsidR="004A455F">
        <w:fldChar w:fldCharType="end"/>
      </w:r>
      <w:r w:rsidR="00565304">
        <w:t xml:space="preserve">. </w:t>
      </w:r>
      <w:r w:rsidR="00100C52">
        <w:t>I</w:t>
      </w:r>
      <w:r w:rsidR="00565304">
        <w:t xml:space="preserve">n recent </w:t>
      </w:r>
      <w:r w:rsidR="00100C52">
        <w:t>decades</w:t>
      </w:r>
      <w:r w:rsidR="00565304">
        <w:t xml:space="preserve">, several relatively affordable crops and condiments (such as grains, potatoes, oil, salt, and soy sauce) have been put forward as ideal carriers of </w:t>
      </w:r>
      <w:r w:rsidR="009E60CC">
        <w:t>micro</w:t>
      </w:r>
      <w:r w:rsidR="00565304">
        <w:t>nutrients to improve public heal</w:t>
      </w:r>
      <w:r w:rsidR="00565304" w:rsidRPr="00100C52">
        <w:t>th cost-effectively through food fortification or biofortification</w:t>
      </w:r>
      <w:r w:rsidR="00100C52">
        <w:t>, providing abundant solutions for alleviating zinc deficiencies in underdeveloped areas. N</w:t>
      </w:r>
      <w:r w:rsidR="00100C52" w:rsidRPr="000A3ED3">
        <w:t>umerous studies around the world have shown that zinc supplementation, food fortification, and biofortification are highly cost-effective</w:t>
      </w:r>
      <w:r w:rsidR="009E576B">
        <w:t xml:space="preserve"> </w:t>
      </w:r>
      <w:r w:rsidR="00100C52" w:rsidRPr="000A3ED3">
        <w:fldChar w:fldCharType="begin" w:fldLock="1"/>
      </w:r>
      <w:r w:rsidR="00C7165B">
        <w:instrText>ADDIN CSL_CITATION {"citationItems":[{"id":"ITEM-1","itemData":{"ISSN":"1471-2458","author":[{"dropping-particle":"","family":"Fink","given":"Günther","non-dropping-particle":"","parse-names":false,"suffix":""},{"dropping-particle":"","family":"Heitner","given":"Jesse","non-dropping-particle":"","parse-names":false,"suffix":""}],"container-title":"BMC Public Health","id":"ITEM-1","issue":"1","issued":{"date-parts":[["2014"]]},"page":"1-10","publisher":"BioMed Central","title":"Evaluating the cost-effectiveness of preventive zinc supplementation","type":"article-journal","volume":"14"},"uris":["http://www.mendeley.com/documents/?uuid=68ea591f-b0b0-4dd6-8213-4af2067ae475"]},{"id":"ITEM-2","itemData":{"ISSN":"0277-2116","author":[{"dropping-particle":"","family":"Mejía","given":"Aurelio","non-dropping-particle":"","parse-names":false,"suffix":""},{"dropping-particle":"","family":"Atehortúa","given":"Sara","non-dropping-particle":"","parse-names":false,"suffix":""},{"dropping-particle":"","family":"Flórez","given":"Iván D","non-dropping-particle":"","parse-names":false,"suffix":""},{"dropping-particle":"","family":"Sierra","given":"Javier M","non-dropping-particle":"","parse-names":false,"suffix":""},{"dropping-particle":"","family":"Mejia","given":"María E","non-dropping-particle":"","parse-names":false,"suffix":""},{"dropping-particle":"","family":"Ramírez","given":"Carolina","non-dropping-particle":"","parse-names":false,"suffix":""}],"container-title":"Journal of pediatric gastroenterology and nutrition","id":"ITEM-2","issue":"4","issued":{"date-parts":[["2015"]]},"page":"515-520","publisher":"LWW","title":"Cost-effectiveness analysis of zinc supplementation for treatment of acute diarrhea in children younger than 5 years in Colombia","type":"article-journal","volume":"60"},"uris":["http://www.mendeley.com/documents/?uuid=cface7d3-a95c-463b-8162-bbd026e60be8"]},{"id":"ITEM-3","itemData":{"ISSN":"0022-3166","author":[{"dropping-particle":"","family":"Horton","given":"Sue","non-dropping-particle":"","parse-names":false,"suffix":""}],"container-title":"The Journal of nutrition","id":"ITEM-3","issue":"4","issued":{"date-parts":[["2006"]]},"page":"1068-1071","publisher":"Oxford University Press","title":"The economics of food fortification","type":"article-journal","volume":"136"},"uris":["http://www.mendeley.com/documents/?uuid=a96218dd-6811-4699-a8f3-c8135eb8e276"]},{"id":"ITEM-4","itemData":{"ISSN":"1475-2727","author":[{"dropping-particle":"","family":"Stein","given":"Alexander J","non-dropping-particle":"","parse-names":false,"suffix":""},{"dropping-particle":"","family":"Nestel","given":"Penelope","non-dropping-particle":"","parse-names":false,"suffix":""},{"dropping-particle":"V","family":"Meenakshi","given":"J","non-dropping-particle":"","parse-names":false,"suffix":""},{"dropping-particle":"","family":"Qaim","given":"Matin","non-dropping-particle":"","parse-names":false,"suffix":""},{"dropping-particle":"","family":"Sachdev","given":"H P S","non-dropping-particle":"","parse-names":false,"suffix":""},{"dropping-particle":"","family":"Bhutta","given":"Zulfiqar A","non-dropping-particle":"","parse-names":false,"suffix":""}],"container-title":"Public health nutrition","id":"ITEM-4","issue":"5","issued":{"date-parts":[["2007"]]},"page":"492-501","publisher":"Cambridge University Press","title":"Plant breeding to control zinc deficiency in India: how cost-effective is biofortification?","type":"article-journal","volume":"10"},"uris":["http://www.mendeley.com/documents/?uuid=b7ecbe9c-3b8e-4a54-af0c-1f373d5c3176"]},{"id":"ITEM-5","itemData":{"DOI":"10.1007/s13593-016-0382-x","ISSN":"17730155","abstract":"Biofortification is a strategy for overcoming human zinc (Zn) deficiency, especially in rural areas of developing countries. Actually, biofortification by foliar Zn application has been demonstrated at small scale, but not at large scale due to the absence of economic analysis. Therefore, here, we conducted the first cost-effectiveness analysis using the method of “disability-adjusted life year” measuring the health burden. We thus quantified the cost of agronomic biofortification of wheat with Zn in three major wheat-growing regions of China. Our results show that the current annual health burden due to human Zn deficiency, defined as numbers of disability-adjusted life years lost, is 0.21 million years for the region under single wheat plantation, 0.79 million years for the region under wheat-maize rotation, and 0.38 million years for the region under wheat-rice rotation. Comparing with traditional wheat diets in these three regions, the consumption of agronomically Zn-biofortified wheat diets could increase the daily Zn intakes of infants and children under 5 years of age. These increased daily Zn intakes consequently reduce the health burden due to human Zn deficiency in these regions by up to 56.6 %. According to cost-effectiveness analysis, the cost for saving one disability-adjusted life year in these regions ranges from US$ 226 to US$ 594 for foliar Zn application alone. The cost ranges from US$ 41 to US$ 108 when foliar Zn and pesticide applications are combined to reduce labor costs. This cost of US$ 41–108 under the combined application of foliar Zn plus pesticide is lower than the World Bank’s standard.","author":[{"dropping-particle":"","family":"Wang","given":"Yue Hong","non-dropping-particle":"","parse-names":false,"suffix":""},{"dropping-particle":"","family":"Zou","given":"Chun Qin","non-dropping-particle":"","parse-names":false,"suffix":""},{"dropping-particle":"","family":"Mirza","given":"Zakaria","non-dropping-particle":"","parse-names":false,"suffix":""},{"dropping-particle":"","family":"Li","given":"Hong","non-dropping-particle":"","parse-names":false,"suffix":""},{"dropping-particle":"","family":"Zhang","given":"Zhen Zhen","non-dropping-particle":"","parse-names":false,"suffix":""},{"dropping-particle":"","family":"Li","given":"Dan Ping","non-dropping-particle":"","parse-names":false,"suffix":""},{"dropping-particle":"","family":"Xu","given":"Chun Li","non-dropping-particle":"","parse-names":false,"suffix":""},{"dropping-particle":"Bin","family":"Zhou","given":"Xin","non-dropping-particle":"","parse-names":false,"suffix":""},{"dropping-particle":"","family":"Shi","given":"Xiao Jun","non-dropping-particle":"","parse-names":false,"suffix":""},{"dropping-particle":"","family":"Xie","given":"De Ti","non-dropping-particle":"","parse-names":false,"suffix":""},{"dropping-particle":"","family":"He","given":"Xin Hua","non-dropping-particle":"","parse-names":false,"suffix":""},{"dropping-particle":"","family":"Zhang","given":"Yue Qiang","non-dropping-particle":"","parse-names":false,"suffix":""}],"container-title":"Agronomy for Sustainable Development","id":"ITEM-5","issue":"3","issued":{"date-parts":[["2016"]]},"publisher":"Agronomy for Sustainable Development","title":"Cost of agronomic biofortification of wheat with zinc in China","type":"article-journal","volume":"36"},"uris":["http://www.mendeley.com/documents/?uuid=d61a490e-c7e2-4748-9d06-30321b76db47"]},{"id":"ITEM-6","itemData":{"ISSN":"1475-2727","author":[{"dropping-particle":"","family":"Ma","given":"Guansheng","non-dropping-particle":"","parse-names":false,"suffix":""},{"dropping-particle":"","family":"Jin","given":"Ying","non-dropping-particle":"","parse-names":false,"suffix":""},{"dropping-particle":"","family":"Li","given":"Yanping","non-dropping-particle":"","parse-names":false,"suffix":""},{"dropping-particle":"","family":"Zhai","given":"Fengying","non-dropping-particle":"","parse-names":false,"suffix":""},{"dropping-particle":"","family":"Kok","given":"Frans J","non-dropping-particle":"","parse-names":false,"suffix":""},{"dropping-particle":"","family":"Jacobsen","given":"Evert","non-dropping-particle":"","parse-names":false,"suffix":""},{"dropping-particle":"","family":"Yang","given":"Xiaoguang","non-dropping-particle":"","parse-names":false,"suffix":""}],"container-title":"Public Health Nutrition","id":"ITEM-6","issue":"6","issued":{"date-parts":[["2008"]]},"page":"632-638","publisher":"Cambridge University Press","title":"Iron and zinc deficiencies in China: what is a feasible and cost-effective strategy?","type":"article-journal","volume":"11"},"uris":["http://www.mendeley.com/documents/?uuid=fba5f357-eb9f-4b90-900a-d4dcb774a753"]}],"mendeley":{"formattedCitation":"(Horton, 2006; Stein &lt;i&gt;et al.&lt;/i&gt;, 2007; Ma, Jin, Li, Zhai, Frans J Kok, &lt;i&gt;et al.&lt;/i&gt;, 2008; Fink and Heitner, 2014; Mejía &lt;i&gt;et al.&lt;/i&gt;, 2015; Wang &lt;i&gt;et al.&lt;/i&gt;, 2016)","manualFormatting":"(Fink and Heitner, 2014; Horton, 2006; Ma et al., 2008; Mejía et al., 2015; Stein et al., 2007; Wang et al., 2016)","plainTextFormattedCitation":"(Horton, 2006; Stein et al., 2007; Ma, Jin, Li, Zhai, Frans J Kok, et al., 2008; Fink and Heitner, 2014; Mejía et al., 2015; Wang et al., 2016)","previouslyFormattedCitation":"(Horton, 2006; Stein &lt;i&gt;et al.&lt;/i&gt;, 2007; Ma, Jin, Li, Zhai, Frans J Kok, &lt;i&gt;et al.&lt;/i&gt;, 2008; Fink and Heitner, 2014; Mejía &lt;i&gt;et al.&lt;/i&gt;, 2015; Wang &lt;i&gt;et al.&lt;/i&gt;, 2016)"},"properties":{"noteIndex":0},"schema":"https://github.com/citation-style-language/schema/raw/master/csl-citation.json"}</w:instrText>
      </w:r>
      <w:r w:rsidR="00100C52" w:rsidRPr="000A3ED3">
        <w:fldChar w:fldCharType="separate"/>
      </w:r>
      <w:r w:rsidR="00100C52" w:rsidRPr="00C7165B">
        <w:rPr>
          <w:noProof/>
          <w:lang w:val="nl-BE"/>
        </w:rPr>
        <w:t xml:space="preserve">(Fink </w:t>
      </w:r>
      <w:r w:rsidR="0094296D" w:rsidRPr="00C7165B">
        <w:rPr>
          <w:noProof/>
          <w:lang w:val="nl-BE"/>
        </w:rPr>
        <w:t>and</w:t>
      </w:r>
      <w:r w:rsidR="00100C52" w:rsidRPr="00C7165B">
        <w:rPr>
          <w:noProof/>
          <w:lang w:val="nl-BE"/>
        </w:rPr>
        <w:t xml:space="preserve"> Heitner, 2014; Horton, 2006; Ma</w:t>
      </w:r>
      <w:r w:rsidR="00100C52" w:rsidRPr="00E97FAF">
        <w:rPr>
          <w:i/>
          <w:iCs/>
          <w:noProof/>
          <w:lang w:val="nl-BE"/>
        </w:rPr>
        <w:t xml:space="preserve"> et al.</w:t>
      </w:r>
      <w:r w:rsidR="00100C52" w:rsidRPr="0064292E">
        <w:rPr>
          <w:noProof/>
          <w:lang w:val="nl-BE"/>
        </w:rPr>
        <w:t>, 2008; Mejía</w:t>
      </w:r>
      <w:r w:rsidR="00100C52" w:rsidRPr="00E97FAF">
        <w:rPr>
          <w:i/>
          <w:iCs/>
          <w:noProof/>
          <w:lang w:val="nl-BE"/>
        </w:rPr>
        <w:t xml:space="preserve"> et al.</w:t>
      </w:r>
      <w:r w:rsidR="00100C52" w:rsidRPr="0064292E">
        <w:rPr>
          <w:noProof/>
          <w:lang w:val="nl-BE"/>
        </w:rPr>
        <w:t>, 2015; Stein</w:t>
      </w:r>
      <w:r w:rsidR="00100C52" w:rsidRPr="00E97FAF">
        <w:rPr>
          <w:i/>
          <w:iCs/>
          <w:noProof/>
          <w:lang w:val="nl-BE"/>
        </w:rPr>
        <w:t xml:space="preserve"> et al.</w:t>
      </w:r>
      <w:r w:rsidR="00100C52" w:rsidRPr="0064292E">
        <w:rPr>
          <w:noProof/>
          <w:lang w:val="nl-BE"/>
        </w:rPr>
        <w:t xml:space="preserve">, 2007; Wang </w:t>
      </w:r>
      <w:r w:rsidR="00100C52" w:rsidRPr="00E97FAF">
        <w:rPr>
          <w:i/>
          <w:iCs/>
          <w:noProof/>
          <w:lang w:val="nl-BE"/>
        </w:rPr>
        <w:t>et al.</w:t>
      </w:r>
      <w:r w:rsidR="00100C52" w:rsidRPr="0064292E">
        <w:rPr>
          <w:noProof/>
          <w:lang w:val="nl-BE"/>
        </w:rPr>
        <w:t>, 2016)</w:t>
      </w:r>
      <w:r w:rsidR="00100C52" w:rsidRPr="000A3ED3">
        <w:fldChar w:fldCharType="end"/>
      </w:r>
      <w:r w:rsidR="00100C52" w:rsidRPr="0064292E">
        <w:rPr>
          <w:lang w:val="nl-BE"/>
        </w:rPr>
        <w:t>.</w:t>
      </w:r>
    </w:p>
    <w:p w14:paraId="4B87C5D4" w14:textId="728A604D" w:rsidR="00E07990" w:rsidRDefault="009E576B" w:rsidP="00475B67">
      <w:pPr>
        <w:ind w:firstLine="480"/>
      </w:pPr>
      <w:r>
        <w:t>C</w:t>
      </w:r>
      <w:r w:rsidR="00E07990" w:rsidRPr="000A3ED3">
        <w:t>ost-effectiveness analysis</w:t>
      </w:r>
      <w:r w:rsidR="00C81C8D" w:rsidRPr="00C81C8D">
        <w:t xml:space="preserve"> </w:t>
      </w:r>
      <w:r w:rsidR="0003731C" w:rsidRPr="00C81C8D">
        <w:t>has</w:t>
      </w:r>
      <w:r w:rsidR="00C81C8D" w:rsidRPr="00C81C8D">
        <w:t xml:space="preserve"> been widely implemented in</w:t>
      </w:r>
      <w:r w:rsidR="00E07990" w:rsidRPr="000A3ED3">
        <w:t xml:space="preserve"> </w:t>
      </w:r>
      <w:r w:rsidR="00C81C8D" w:rsidRPr="006B19E1">
        <w:t>project</w:t>
      </w:r>
      <w:r w:rsidR="00C81C8D">
        <w:t xml:space="preserve"> </w:t>
      </w:r>
      <w:r w:rsidR="00C81C8D" w:rsidRPr="006B19E1">
        <w:t>feasibility</w:t>
      </w:r>
      <w:r w:rsidR="00C81C8D">
        <w:t xml:space="preserve"> </w:t>
      </w:r>
      <w:r w:rsidR="00C81C8D" w:rsidRPr="006B19E1">
        <w:t>evaluation</w:t>
      </w:r>
      <w:r w:rsidR="00C81C8D">
        <w:t>s</w:t>
      </w:r>
      <w:r w:rsidR="00C81C8D" w:rsidRPr="006B19E1">
        <w:t>.</w:t>
      </w:r>
      <w:r w:rsidR="00E07990" w:rsidRPr="000A3ED3">
        <w:t xml:space="preserve"> Previous economic evaluations have articulated the cost-effectiveness of health interventions for zinc deficiency with both ex-ante and ex-post analysis. </w:t>
      </w:r>
      <w:r>
        <w:t>Findings from</w:t>
      </w:r>
      <w:r w:rsidR="00E07990" w:rsidRPr="000A3ED3">
        <w:t xml:space="preserve"> cost-effectiveness studies of zinc interventions </w:t>
      </w:r>
      <w:r w:rsidR="00E07990">
        <w:rPr>
          <w:rFonts w:hint="eastAsia"/>
        </w:rPr>
        <w:t>(</w:t>
      </w:r>
      <w:r w:rsidR="00E07990">
        <w:t>i</w:t>
      </w:r>
      <w:r w:rsidR="00E07990" w:rsidRPr="000A3ED3">
        <w:t>nclud</w:t>
      </w:r>
      <w:r w:rsidR="00E07990">
        <w:t>ing</w:t>
      </w:r>
      <w:r w:rsidR="00E07990" w:rsidRPr="000A3ED3">
        <w:t xml:space="preserve"> zinc supplementation, food fortification, and biofortification</w:t>
      </w:r>
      <w:r w:rsidR="00E07990">
        <w:t xml:space="preserve">) </w:t>
      </w:r>
      <w:r w:rsidR="00E07990" w:rsidRPr="000A3ED3">
        <w:t xml:space="preserve">in LMICs </w:t>
      </w:r>
      <w:r>
        <w:t>are</w:t>
      </w:r>
      <w:r w:rsidRPr="000A3ED3">
        <w:t xml:space="preserve"> </w:t>
      </w:r>
      <w:r w:rsidR="00E07990" w:rsidRPr="000A3ED3">
        <w:t xml:space="preserve">presented in </w:t>
      </w:r>
      <w:r w:rsidR="008F381E">
        <w:t>Appendix B</w:t>
      </w:r>
      <w:r w:rsidR="00E07990" w:rsidRPr="000A3ED3">
        <w:t xml:space="preserve">. </w:t>
      </w:r>
      <w:r w:rsidR="00E07990">
        <w:t>In g</w:t>
      </w:r>
      <w:r w:rsidR="00E07990" w:rsidRPr="000A3ED3">
        <w:t>eneral</w:t>
      </w:r>
      <w:r w:rsidR="00E07990">
        <w:t>,</w:t>
      </w:r>
      <w:r w:rsidR="00E07990" w:rsidRPr="000A3ED3">
        <w:t xml:space="preserve"> biofortification displays a low cost per </w:t>
      </w:r>
      <w:r w:rsidR="00E07990" w:rsidRPr="00516256">
        <w:t>disability-adjusted life years saved (</w:t>
      </w:r>
      <w:r w:rsidR="00E07990" w:rsidRPr="000A3ED3">
        <w:t>DALYs</w:t>
      </w:r>
      <w:r w:rsidR="00E07990" w:rsidRPr="00516256">
        <w:t>)</w:t>
      </w:r>
      <w:r w:rsidR="00E07990" w:rsidRPr="000A3ED3">
        <w:t xml:space="preserve">, </w:t>
      </w:r>
      <w:r w:rsidR="00D62BAC" w:rsidRPr="00383665">
        <w:t>suggesting</w:t>
      </w:r>
      <w:r w:rsidR="00D62BAC">
        <w:t xml:space="preserve"> </w:t>
      </w:r>
      <w:r w:rsidR="00E07990" w:rsidRPr="000A3ED3">
        <w:t>its long-term cost-effectiveness.</w:t>
      </w:r>
      <w:r w:rsidR="00E07990">
        <w:t xml:space="preserve"> </w:t>
      </w:r>
    </w:p>
    <w:p w14:paraId="5633FE7C" w14:textId="292D495C" w:rsidR="00CB5E8C" w:rsidRPr="00E07990" w:rsidRDefault="00D71121" w:rsidP="00475B67">
      <w:pPr>
        <w:ind w:firstLine="480"/>
      </w:pPr>
      <w:r w:rsidRPr="00A54680">
        <w:t xml:space="preserve">However, </w:t>
      </w:r>
      <w:r w:rsidR="00D62BAC" w:rsidRPr="00D62BAC">
        <w:t>most of these evaluations focus only on the direct health effects of the interventions and ignore the broader effects,</w:t>
      </w:r>
      <w:r w:rsidR="00C16AE1">
        <w:t xml:space="preserve"> partly because of </w:t>
      </w:r>
      <w:r w:rsidR="00EF08C3">
        <w:t xml:space="preserve">a </w:t>
      </w:r>
      <w:r w:rsidR="00C16AE1">
        <w:t>lack of solid evidence and contr</w:t>
      </w:r>
      <w:r w:rsidR="00C16AE1" w:rsidRPr="002F4D6D">
        <w:t>oversial perspectives. S</w:t>
      </w:r>
      <w:r w:rsidR="00A520F1" w:rsidRPr="002F4D6D">
        <w:t>ome</w:t>
      </w:r>
      <w:r w:rsidR="00DF0A46" w:rsidRPr="002F4D6D">
        <w:t xml:space="preserve"> studies </w:t>
      </w:r>
      <w:r w:rsidR="00EF08C3">
        <w:t>highlighted</w:t>
      </w:r>
      <w:r w:rsidR="00DF0A46" w:rsidRPr="002F4D6D">
        <w:t xml:space="preserve"> concerns about </w:t>
      </w:r>
      <w:r w:rsidR="00DB3629" w:rsidRPr="00DB3629">
        <w:t>the risks of overconsumption of zinc in public health interventions</w:t>
      </w:r>
      <w:r w:rsidR="00EF08C3">
        <w:t xml:space="preserve"> </w:t>
      </w:r>
      <w:r w:rsidR="00A54680" w:rsidRPr="002F4D6D">
        <w:fldChar w:fldCharType="begin" w:fldLock="1"/>
      </w:r>
      <w:r w:rsidR="00F417F3">
        <w:instrText>ADDIN CSL_CITATION {"citationItems":[{"id":"ITEM-1","itemData":{"ISSN":"0002-9165","author":[{"dropping-particle":"","family":"Arsenault","given":"Joanne E","non-dropping-particle":"","parse-names":false,"suffix":""},{"dropping-particle":"","family":"Brown","given":"Kenneth H","non-dropping-particle":"","parse-names":false,"suffix":""}],"container-title":"The American journal of clinical nutrition","id":"ITEM-1","issue":"5","issued":{"date-parts":[["2003"]]},"page":"1011-1017","publisher":"Oxford University Press","title":"Zinc intake of US preschool children exceeds new dietary reference intakes","type":"article-journal","volume":"78"},"uris":["http://www.mendeley.com/documents/?uuid=fbb98616-b49e-4db1-8334-52a9a123dd1e"]},{"id":"ITEM-2","itemData":{"ISSN":"0946-672X","author":[{"dropping-particle":"","family":"Maret","given":"Wolfgang","non-dropping-particle":"","parse-names":false,"suffix":""},{"dropping-particle":"","family":"Sandstead","given":"Harold H","non-dropping-particle":"","parse-names":false,"suffix":""}],"container-title":"Journal of trace elements in medicine and biology","id":"ITEM-2","issue":"1","issued":{"date-parts":[["2006"]]},"page":"3-18","publisher":"Elsevier","title":"Zinc requirements and the risks and benefits of zinc supplementation","type":"article-journal","volume":"20"},"uris":["http://www.mendeley.com/documents/?uuid=41d5e68a-edda-4b0a-9f7d-1a530d1019a9"]}],"mendeley":{"formattedCitation":"(Arsenault and Brown, 2003; Maret and Sandstead, 2006)","plainTextFormattedCitation":"(Arsenault and Brown, 2003; Maret and Sandstead, 2006)","previouslyFormattedCitation":"(Arsenault and Brown, 2003; Maret and Sandstead, 2006)"},"properties":{"noteIndex":0},"schema":"https://github.com/citation-style-language/schema/raw/master/csl-citation.json"}</w:instrText>
      </w:r>
      <w:r w:rsidR="00A54680" w:rsidRPr="002F4D6D">
        <w:fldChar w:fldCharType="separate"/>
      </w:r>
      <w:r w:rsidR="00F417F3" w:rsidRPr="00F417F3">
        <w:rPr>
          <w:noProof/>
        </w:rPr>
        <w:t xml:space="preserve">(Arsenault and Brown, 2003; </w:t>
      </w:r>
      <w:r w:rsidR="00F417F3" w:rsidRPr="00F417F3">
        <w:rPr>
          <w:noProof/>
        </w:rPr>
        <w:lastRenderedPageBreak/>
        <w:t>Maret and Sandstead, 2006)</w:t>
      </w:r>
      <w:r w:rsidR="00A54680" w:rsidRPr="002F4D6D">
        <w:fldChar w:fldCharType="end"/>
      </w:r>
      <w:r w:rsidR="00DF0A46" w:rsidRPr="002F4D6D">
        <w:t xml:space="preserve">. </w:t>
      </w:r>
      <w:r w:rsidR="00521DB2" w:rsidRPr="002F4D6D">
        <w:t>With such a narrow gap</w:t>
      </w:r>
      <w:r w:rsidR="00DF0A46" w:rsidRPr="002F4D6D">
        <w:t xml:space="preserve"> between zinc recommended dietary allowance (RDA) and the reference dose (</w:t>
      </w:r>
      <w:proofErr w:type="spellStart"/>
      <w:r w:rsidR="00DF0A46" w:rsidRPr="002F4D6D">
        <w:t>RfD</w:t>
      </w:r>
      <w:proofErr w:type="spellEnd"/>
      <w:r w:rsidR="00DF0A46" w:rsidRPr="002F4D6D">
        <w:t>),</w:t>
      </w:r>
      <w:r w:rsidR="00521DB2" w:rsidRPr="002F4D6D">
        <w:t xml:space="preserve"> there is </w:t>
      </w:r>
      <w:r w:rsidR="00DF0A46" w:rsidRPr="002F4D6D">
        <w:t xml:space="preserve">little room for public health interventions to </w:t>
      </w:r>
      <w:r w:rsidR="00521DB2" w:rsidRPr="002F4D6D">
        <w:t>st</w:t>
      </w:r>
      <w:r w:rsidR="00521DB2">
        <w:t>rike a balance between</w:t>
      </w:r>
      <w:r w:rsidR="00DF0A46" w:rsidRPr="000A3ED3">
        <w:t xml:space="preserve"> the benefits of alleviating zinc deficiency and the potential risks of zinc toxicity </w:t>
      </w:r>
      <w:r w:rsidR="00DF0A46" w:rsidRPr="000A3ED3">
        <w:fldChar w:fldCharType="begin" w:fldLock="1"/>
      </w:r>
      <w:r w:rsidR="00F417F3">
        <w:instrText>ADDIN CSL_CITATION {"citationItems":[{"id":"ITEM-1","itemData":{"ISSN":"0946-672X","author":[{"dropping-particle":"","family":"Maret","given":"Wolfgang","non-dropping-particle":"","parse-names":false,"suffix":""},{"dropping-particle":"","family":"Sandstead","given":"Harold H","non-dropping-particle":"","parse-names":false,"suffix":""}],"container-title":"Journal of trace elements in medicine and biology","id":"ITEM-1","issue":"1","issued":{"date-parts":[["2006"]]},"page":"3-18","publisher":"Elsevier","title":"Zinc requirements and the risks and benefits of zinc supplementation","type":"article-journal","volume":"20"},"uris":["http://www.mendeley.com/documents/?uuid=41d5e68a-edda-4b0a-9f7d-1a530d1019a9"]}],"mendeley":{"formattedCitation":"(Maret and Sandstead, 2006)","manualFormatting":"(Maret and Sandstead, 2006)","plainTextFormattedCitation":"(Maret and Sandstead, 2006)","previouslyFormattedCitation":"(Maret and Sandstead, 2006)"},"properties":{"noteIndex":0},"schema":"https://github.com/citation-style-language/schema/raw/master/csl-citation.json"}</w:instrText>
      </w:r>
      <w:r w:rsidR="00DF0A46" w:rsidRPr="000A3ED3">
        <w:fldChar w:fldCharType="separate"/>
      </w:r>
      <w:r w:rsidR="00DF0A46" w:rsidRPr="000A3ED3">
        <w:rPr>
          <w:noProof/>
        </w:rPr>
        <w:t xml:space="preserve">(Maret </w:t>
      </w:r>
      <w:r w:rsidR="0092796D">
        <w:rPr>
          <w:noProof/>
        </w:rPr>
        <w:t>and</w:t>
      </w:r>
      <w:r w:rsidR="00DF0A46" w:rsidRPr="000A3ED3">
        <w:rPr>
          <w:noProof/>
        </w:rPr>
        <w:t xml:space="preserve"> Sandstead, 2006)</w:t>
      </w:r>
      <w:r w:rsidR="00DF0A46" w:rsidRPr="000A3ED3">
        <w:fldChar w:fldCharType="end"/>
      </w:r>
      <w:r w:rsidR="00DF0A46" w:rsidRPr="000A3ED3">
        <w:t xml:space="preserve">. Given that </w:t>
      </w:r>
      <w:r w:rsidR="00EF08C3">
        <w:t>such</w:t>
      </w:r>
      <w:r w:rsidR="00EF08C3" w:rsidRPr="000A3ED3">
        <w:t xml:space="preserve"> </w:t>
      </w:r>
      <w:r w:rsidR="00DF0A46" w:rsidRPr="000A3ED3">
        <w:t xml:space="preserve">interventions would affect the whole population, children and young adolescents who have </w:t>
      </w:r>
      <w:r w:rsidR="00DD0D99">
        <w:t xml:space="preserve">a </w:t>
      </w:r>
      <w:r w:rsidR="00DF0A46" w:rsidRPr="000A3ED3">
        <w:t>narrower window of intervention would be the most vulnerable groups to zinc deficiency a</w:t>
      </w:r>
      <w:r w:rsidR="00DF0A46" w:rsidRPr="00A54680">
        <w:t xml:space="preserve">nd the </w:t>
      </w:r>
      <w:r w:rsidR="0006087F" w:rsidRPr="00A54680">
        <w:t xml:space="preserve">hazards </w:t>
      </w:r>
      <w:r w:rsidR="00DF0A46" w:rsidRPr="00A54680">
        <w:t xml:space="preserve">of excessive zinc intake. The safety of </w:t>
      </w:r>
      <w:r w:rsidR="00DB3629" w:rsidRPr="00DB3629">
        <w:t>large-scale</w:t>
      </w:r>
      <w:r w:rsidR="00DB3629">
        <w:t xml:space="preserve"> </w:t>
      </w:r>
      <w:r w:rsidR="00DF0A46" w:rsidRPr="00A54680">
        <w:t xml:space="preserve">zinc supplementation </w:t>
      </w:r>
      <w:r w:rsidR="00EF08C3">
        <w:t xml:space="preserve">also </w:t>
      </w:r>
      <w:r w:rsidR="00DF0A46" w:rsidRPr="00A54680">
        <w:t xml:space="preserve">remains controversial. </w:t>
      </w:r>
      <w:r w:rsidR="00EF08C3">
        <w:t xml:space="preserve">Some studies </w:t>
      </w:r>
      <w:r w:rsidR="00DB3629">
        <w:t xml:space="preserve">suggested </w:t>
      </w:r>
      <w:r w:rsidR="00DF0A46" w:rsidRPr="00A54680">
        <w:t>that the inter</w:t>
      </w:r>
      <w:r w:rsidR="00DF0A46" w:rsidRPr="000A3ED3">
        <w:t>vention of zinc suppl</w:t>
      </w:r>
      <w:r w:rsidR="00DF0A46" w:rsidRPr="00746BAE">
        <w:t>ementation and food fortification should be scrutinized, especially among vulnerable groups like infants and toddlers.</w:t>
      </w:r>
      <w:r w:rsidR="0006087F" w:rsidRPr="0006087F">
        <w:t xml:space="preserve"> </w:t>
      </w:r>
      <w:r w:rsidR="0006087F">
        <w:t>I</w:t>
      </w:r>
      <w:r w:rsidR="0006087F" w:rsidRPr="00746BAE">
        <w:t>n the United States</w:t>
      </w:r>
      <w:r w:rsidR="0006087F">
        <w:t>,</w:t>
      </w:r>
      <w:r w:rsidR="00DF0A46" w:rsidRPr="00746BAE">
        <w:t xml:space="preserve"> </w:t>
      </w:r>
      <w:r w:rsidR="0006087F">
        <w:t>f</w:t>
      </w:r>
      <w:r w:rsidR="00DF0A46" w:rsidRPr="00746BAE">
        <w:t xml:space="preserve">or </w:t>
      </w:r>
      <w:r w:rsidR="0006087F">
        <w:t>example</w:t>
      </w:r>
      <w:r w:rsidR="00DF0A46" w:rsidRPr="00746BAE">
        <w:t xml:space="preserve">, </w:t>
      </w:r>
      <w:r w:rsidR="004C22F3">
        <w:t xml:space="preserve">exposure to </w:t>
      </w:r>
      <w:r w:rsidR="00DF0A46" w:rsidRPr="00746BAE">
        <w:t xml:space="preserve">voluntary </w:t>
      </w:r>
      <w:r w:rsidR="004C22F3">
        <w:t>fortified food</w:t>
      </w:r>
      <w:r w:rsidR="0019377F">
        <w:t>s</w:t>
      </w:r>
      <w:r w:rsidR="00DF0A46" w:rsidRPr="00746BAE">
        <w:t xml:space="preserve"> and </w:t>
      </w:r>
      <w:r w:rsidR="0019377F">
        <w:t>supplements</w:t>
      </w:r>
      <w:r w:rsidR="0019377F" w:rsidRPr="00746BAE">
        <w:t xml:space="preserve"> </w:t>
      </w:r>
      <w:r w:rsidR="004C22F3">
        <w:t>was</w:t>
      </w:r>
      <w:r w:rsidR="00DF0A46" w:rsidRPr="00746BAE">
        <w:t xml:space="preserve"> </w:t>
      </w:r>
      <w:r w:rsidR="0006087F">
        <w:t>predicted</w:t>
      </w:r>
      <w:r w:rsidR="00DF0A46" w:rsidRPr="00746BAE">
        <w:t xml:space="preserve"> to lead to excessive zinc </w:t>
      </w:r>
      <w:r w:rsidR="0019377F">
        <w:t>intake</w:t>
      </w:r>
      <w:r w:rsidR="0019377F" w:rsidRPr="00746BAE">
        <w:t xml:space="preserve"> </w:t>
      </w:r>
      <w:r w:rsidR="00DF0A46" w:rsidRPr="00746BAE">
        <w:t>in</w:t>
      </w:r>
      <w:r w:rsidR="00266DE9" w:rsidRPr="00963381">
        <w:t xml:space="preserve"> </w:t>
      </w:r>
      <w:r w:rsidR="00EF08C3">
        <w:t>about</w:t>
      </w:r>
      <w:r w:rsidR="00EF08C3" w:rsidRPr="00963381">
        <w:t xml:space="preserve"> </w:t>
      </w:r>
      <w:r w:rsidR="00DF0A46" w:rsidRPr="00746BAE">
        <w:t>50% of children</w:t>
      </w:r>
      <w:r w:rsidR="0019377F">
        <w:t xml:space="preserve"> </w:t>
      </w:r>
      <w:r w:rsidR="0019377F" w:rsidRPr="0019377F">
        <w:t>aged 1-3 years</w:t>
      </w:r>
      <w:r w:rsidR="0006087F" w:rsidRPr="00746BAE">
        <w:t xml:space="preserve"> </w:t>
      </w:r>
      <w:r w:rsidR="00DF0A46" w:rsidRPr="00746BAE">
        <w:fldChar w:fldCharType="begin" w:fldLock="1"/>
      </w:r>
      <w:r w:rsidR="00F417F3">
        <w:instrText>ADDIN CSL_CITATION {"citationItems":[{"id":"ITEM-1","itemData":{"ISSN":"0002-8223","author":[{"dropping-particle":"","family":"Butte","given":"Nancy F","non-dropping-particle":"","parse-names":false,"suffix":""},{"dropping-particle":"","family":"Fox","given":"Mary Kay","non-dropping-particle":"","parse-names":false,"suffix":""},{"dropping-particle":"","family":"Briefel","given":"Ronette R","non-dropping-particle":"","parse-names":false,"suffix":""},{"dropping-particle":"","family":"Siega-Riz","given":"Anna Maria","non-dropping-particle":"","parse-names":false,"suffix":""},{"dropping-particle":"","family":"Dwyer","given":"Johanna T","non-dropping-particle":"","parse-names":false,"suffix":""},{"dropping-particle":"","family":"Deming","given":"Denise M","non-dropping-particle":"","parse-names":false,"suffix":""},{"dropping-particle":"","family":"Reidy","given":"Kathleen C","non-dropping-particle":"","parse-names":false,"suffix":""}],"container-title":"Journal of the American Dietetic Association","id":"ITEM-1","issue":"12","issued":{"date-parts":[["2010"]]},"page":"S27-S37","publisher":"Elsevier","title":"Nutrient intakes of US infants, toddlers, and preschoolers meet or exceed dietary reference intakes","type":"article-journal","volume":"110"},"uris":["http://www.mendeley.com/documents/?uuid=2a1a311d-650c-48c2-a0a5-8b322957845b"]},{"id":"ITEM-2","itemData":{"ISSN":"1476-5640","author":[{"dropping-particle":"","family":"Sacco","given":"Jocelyn E","non-dropping-particle":"","parse-names":false,"suffix":""},{"dropping-particle":"","family":"Dodd","given":"Kevin W","non-dropping-particle":"","parse-names":false,"suffix":""},{"dropping-particle":"","family":"Kirkpatrick","given":"Sharon I","non-dropping-particle":"","parse-names":false,"suffix":""},{"dropping-particle":"","family":"Tarasuk","given":"Valerie","non-dropping-particle":"","parse-names":false,"suffix":""}],"container-title":"European journal of clinical nutrition","id":"ITEM-2","issue":"6","issued":{"date-parts":[["2013"]]},"page":"592-597","publisher":"Nature Publishing Group","title":"Voluntary food fortification in the United States: potential for excessive intakes","type":"article-journal","volume":"67"},"uris":["http://www.mendeley.com/documents/?uuid=d4cff050-00e3-4ea1-924a-bee7129f742c"]},{"id":"ITEM-3","itemData":{"ISSN":"0002-9165","author":[{"dropping-particle":"","family":"Arsenault","given":"Joanne E","non-dropping-particle":"","parse-names":false,"suffix":""},{"dropping-particle":"","family":"Brown","given":"Kenneth H","non-dropping-particle":"","parse-names":false,"suffix":""}],"container-title":"The American journal of clinical nutrition","id":"ITEM-3","issue":"5","issued":{"date-parts":[["2003"]]},"page":"1011-1017","publisher":"Oxford University Press","title":"Zinc intake of US preschool children exceeds new dietary reference intakes","type":"article-journal","volume":"78"},"uris":["http://www.mendeley.com/documents/?uuid=fbb98616-b49e-4db1-8334-52a9a123dd1e"]},{"id":"ITEM-4","itemData":{"DOI":"https://doi.org/10.1016/j.jpeds.2012.05.009","ISSN":"0022-3476","abstract":"Objective\nTo examine if children use supplements to fill gaps in nutritionally inadequate diets or whether supplements contribute to already adequate or excessive micronutrient intakes from foods.\nStudy design\nData were analyzed for children (2-18 years) from the National Health and Nutrition Examination Survey 2003-2006, a nationally representative, cross-sectional survey (n = 7250). Diet was assessed using two 24-hour recalls, and dietary supplement use was assessed with a 30-day questionnaire.\nResults\nPrevalence of supplements use was 21% (&lt;2 years) and 42% (2-8 years). Supplement users had higher micronutrient intakes than nonusers. Calcium and vitamin D intakes were low for all children. Inadequate intakes of phosphorus, copper, selenium, folate, and vitamins B-6 and B-12 were minimal from foods alone among 2-8 year olds. However, among 9-18 year olds, a higher prevalence of inadequate intakes of magnesium, phosphorus, and vitamins A, C, and E were observed. Supplement use increased the likelihood of intakes above the upper tolerable intake level for iron, zinc, copper, selenium, folic acid, and vitamins A and C.\nConclusions\nEven with the use of supplements, more than a one-third of children failed to meet calcium and vitamin D recommendations. Children 2-8 years old had nutritionally adequate diets regardless of supplement use. However, in children older than 8 years, dietary supplements added micronutrients to diets that would have otherwise been inadequate for magnesium, phosphorus, vitamins A, C, and E. Supplement use contributed to the potential for excess intakes of some nutrients. These findings may have implications for reformulating dietary supplements for children.","author":[{"dropping-particle":"","family":"Bailey","given":"Regan L","non-dropping-particle":"","parse-names":false,"suffix":""},{"dropping-particle":"","family":"Fulgoni","given":"Victor L","non-dropping-particle":"","parse-names":false,"suffix":""},{"dropping-particle":"","family":"Keast","given":"Debra R","non-dropping-particle":"","parse-names":false,"suffix":""},{"dropping-particle":"V","family":"Lentino","given":"Cindy","non-dropping-particle":"","parse-names":false,"suffix":""},{"dropping-particle":"","family":"Dwyer","given":"Johanna T","non-dropping-particle":"","parse-names":false,"suffix":""}],"container-title":"The Journal of Pediatrics","id":"ITEM-4","issue":"5","issued":{"date-parts":[["2012"]]},"page":"837-842.e3","title":"Do Dietary Supplements Improve Micronutrient Sufficiency in Children and Adolescents?","type":"article-journal","volume":"161"},"uris":["http://www.mendeley.com/documents/?uuid=57b4809c-1404-436f-8d6e-3f1251f24b1e"]}],"mendeley":{"formattedCitation":"(Arsenault and Brown, 2003; Butte &lt;i&gt;et al.&lt;/i&gt;, 2010; Bailey &lt;i&gt;et al.&lt;/i&gt;, 2012; Sacco &lt;i&gt;et al.&lt;/i&gt;, 2013)","plainTextFormattedCitation":"(Arsenault and Brown, 2003; Butte et al., 2010; Bailey et al., 2012; Sacco et al., 2013)","previouslyFormattedCitation":"(Arsenault and Brown, 2003; Butte &lt;i&gt;et al.&lt;/i&gt;, 2010; Bailey &lt;i&gt;et al.&lt;/i&gt;, 2012; Sacco &lt;i&gt;et al.&lt;/i&gt;, 2013)"},"properties":{"noteIndex":0},"schema":"https://github.com/citation-style-language/schema/raw/master/csl-citation.json"}</w:instrText>
      </w:r>
      <w:r w:rsidR="00DF0A46" w:rsidRPr="00746BAE">
        <w:fldChar w:fldCharType="separate"/>
      </w:r>
      <w:r w:rsidR="00F417F3" w:rsidRPr="00F417F3">
        <w:rPr>
          <w:noProof/>
        </w:rPr>
        <w:t xml:space="preserve">(Arsenault and Brown, 2003; Butte </w:t>
      </w:r>
      <w:r w:rsidR="00F417F3" w:rsidRPr="00F417F3">
        <w:rPr>
          <w:i/>
          <w:noProof/>
        </w:rPr>
        <w:t>et al.</w:t>
      </w:r>
      <w:r w:rsidR="00F417F3" w:rsidRPr="00F417F3">
        <w:rPr>
          <w:noProof/>
        </w:rPr>
        <w:t xml:space="preserve">, 2010; Bailey </w:t>
      </w:r>
      <w:r w:rsidR="00F417F3" w:rsidRPr="00F417F3">
        <w:rPr>
          <w:i/>
          <w:noProof/>
        </w:rPr>
        <w:t>et al.</w:t>
      </w:r>
      <w:r w:rsidR="00F417F3" w:rsidRPr="00F417F3">
        <w:rPr>
          <w:noProof/>
        </w:rPr>
        <w:t xml:space="preserve">, 2012; Sacco </w:t>
      </w:r>
      <w:r w:rsidR="00F417F3" w:rsidRPr="00F417F3">
        <w:rPr>
          <w:i/>
          <w:noProof/>
        </w:rPr>
        <w:t>et al.</w:t>
      </w:r>
      <w:r w:rsidR="00F417F3" w:rsidRPr="00F417F3">
        <w:rPr>
          <w:noProof/>
        </w:rPr>
        <w:t>, 2013)</w:t>
      </w:r>
      <w:r w:rsidR="00DF0A46" w:rsidRPr="00746BAE">
        <w:fldChar w:fldCharType="end"/>
      </w:r>
      <w:r w:rsidR="00DF0A46" w:rsidRPr="00746BAE">
        <w:t xml:space="preserve">. </w:t>
      </w:r>
      <w:r w:rsidR="0019377F" w:rsidRPr="0019377F">
        <w:t>Excessive zinc intake can lead to chronic zinc toxicity, which inhibits the absorption of copper and iron and ultimately induces persistent iron deficiency anemia (IDA) that is unresponsive to iron therapy</w:t>
      </w:r>
      <w:r w:rsidR="00DF0A46" w:rsidRPr="000A3ED3">
        <w:t xml:space="preserve"> </w:t>
      </w:r>
      <w:r w:rsidR="00DF0A46" w:rsidRPr="000A3ED3">
        <w:fldChar w:fldCharType="begin" w:fldLock="1"/>
      </w:r>
      <w:r w:rsidR="00F417F3">
        <w:instrText>ADDIN CSL_CITATION {"citationItems":[{"id":"ITEM-1","itemData":{"abstract":"Zinc is a transition metal usually present in nature in its divalent state. It is considered an essential mineral as it is necessary for the production of hundreds of enzymes throughout the body. Daily recommended intake of zinc differ depending on the patient population, and the normal concentration of zinc in serum is 109 to 130 microgram/deciliter. It acts as a cofactor in enzymatic reactions involved in DNA expression, membrane stabilization, vitamin A metabolism, and in the gustatory and olfactory systems. This vast number of functions also contributes to zinc’s importance during fetal growth and development. Additionally, a feature of zinc’s function in the body is its inverse relationship to copper levels, and pharmaceutical preparations are frequently part of the therapy regimen in the treatment of Wilson disease. Chronic zinc toxicity manifests primarily as copper deficiency.[1][2][3][4] Because there are many sources of zinc throughout the environment, exposure and toxicity are not uncommon. There are case reports of toxicity as a result of inhalation from occupational sources, overuse of dietary supplements, use of denture cream, ingestion of pennies secondary to PICA, and erroneously prepared TPN, to name a few. Some of these cases did have fatal outcomes.[5][6][7][8][9][10]","author":[{"dropping-particle":"","family":"Agnew","given":"Ulrika M","non-dropping-particle":"","parse-names":false,"suffix":""},{"dropping-particle":"","family":"Slesinger","given":"Todd L","non-dropping-particle":"","parse-names":false,"suffix":""}],"id":"ITEM-1","issued":{"date-parts":[["2021"]]},"publisher":"StatPearls Publishing, Treasure Island (FL)","title":"Zinc Toxicity","type":"book"},"uris":["http://www.mendeley.com/documents/?uuid=9b931b0b-7539-4583-924f-50641c7f62e4"]},{"id":"ITEM-2","itemData":{"ISSN":"1572-8773","author":[{"dropping-particle":"","family":"Olivares","given":"Manuel","non-dropping-particle":"","parse-names":false,"suffix":""},{"dropping-particle":"","family":"Pizarro","given":"Fernando","non-dropping-particle":"","parse-names":false,"suffix":""},{"dropping-particle":"","family":"Ruz","given":"Manuel","non-dropping-particle":"","parse-names":false,"suffix":""},{"dropping-particle":"","family":"López de Romaña","given":"Daniel","non-dropping-particle":"","parse-names":false,"suffix":""}],"container-title":"Biometals","id":"ITEM-2","issue":"4","issued":{"date-parts":[["2012"]]},"page":"657-664","publisher":"Springer","title":"Acute inhibition of iron bioavailability by zinc: studies in humans","type":"article-journal","volume":"25"},"uris":["http://www.mendeley.com/documents/?uuid=dfc79263-289e-463a-aace-7c7b52f70d39"]}],"mendeley":{"formattedCitation":"(Olivares &lt;i&gt;et al.&lt;/i&gt;, 2012; Agnew and Slesinger, 2021)","plainTextFormattedCitation":"(Olivares et al., 2012; Agnew and Slesinger, 2021)","previouslyFormattedCitation":"(Olivares &lt;i&gt;et al.&lt;/i&gt;, 2012; Agnew and Slesinger, 2021)"},"properties":{"noteIndex":0},"schema":"https://github.com/citation-style-language/schema/raw/master/csl-citation.json"}</w:instrText>
      </w:r>
      <w:r w:rsidR="00DF0A46" w:rsidRPr="000A3ED3">
        <w:fldChar w:fldCharType="separate"/>
      </w:r>
      <w:r w:rsidR="00F417F3" w:rsidRPr="00F417F3">
        <w:rPr>
          <w:noProof/>
        </w:rPr>
        <w:t xml:space="preserve">(Olivares </w:t>
      </w:r>
      <w:r w:rsidR="00F417F3" w:rsidRPr="00F417F3">
        <w:rPr>
          <w:i/>
          <w:noProof/>
        </w:rPr>
        <w:t>et al.</w:t>
      </w:r>
      <w:r w:rsidR="00F417F3" w:rsidRPr="00F417F3">
        <w:rPr>
          <w:noProof/>
        </w:rPr>
        <w:t>, 2012; Agnew and Slesinger, 2021)</w:t>
      </w:r>
      <w:r w:rsidR="00DF0A46" w:rsidRPr="000A3ED3">
        <w:fldChar w:fldCharType="end"/>
      </w:r>
      <w:r w:rsidR="00DF0A46" w:rsidRPr="000A3ED3">
        <w:t xml:space="preserve">. Therefore, </w:t>
      </w:r>
      <w:r w:rsidR="00746BAE">
        <w:t xml:space="preserve">indiscriminate </w:t>
      </w:r>
      <w:r w:rsidR="00DF0A46" w:rsidRPr="000A3ED3">
        <w:t>supplement</w:t>
      </w:r>
      <w:r w:rsidR="00056347">
        <w:t>ation with</w:t>
      </w:r>
      <w:r w:rsidR="00DF0A46" w:rsidRPr="000A3ED3">
        <w:t xml:space="preserve"> pharmacologica</w:t>
      </w:r>
      <w:r w:rsidR="00171998">
        <w:t>l</w:t>
      </w:r>
      <w:r w:rsidR="00DF0A46" w:rsidRPr="000A3ED3">
        <w:t>l</w:t>
      </w:r>
      <w:r w:rsidR="00171998">
        <w:t>y</w:t>
      </w:r>
      <w:r w:rsidR="00DF0A46" w:rsidRPr="000A3ED3">
        <w:t xml:space="preserve"> bioavailable zinc doses might not be ideal </w:t>
      </w:r>
      <w:r w:rsidR="00EF08C3">
        <w:t>as a</w:t>
      </w:r>
      <w:r w:rsidR="00EF08C3" w:rsidRPr="000A3ED3">
        <w:t xml:space="preserve"> </w:t>
      </w:r>
      <w:r w:rsidR="00DF0A46" w:rsidRPr="000A3ED3">
        <w:t xml:space="preserve">long-term intervention to </w:t>
      </w:r>
      <w:r w:rsidR="00171998">
        <w:t>combat</w:t>
      </w:r>
      <w:r w:rsidR="00171998" w:rsidRPr="000A3ED3">
        <w:t xml:space="preserve"> </w:t>
      </w:r>
      <w:r w:rsidR="00DF0A46" w:rsidRPr="000A3ED3">
        <w:t xml:space="preserve">zinc deficiency </w:t>
      </w:r>
      <w:r w:rsidR="00DF0A46" w:rsidRPr="000A3ED3">
        <w:fldChar w:fldCharType="begin" w:fldLock="1"/>
      </w:r>
      <w:r w:rsidR="00F417F3">
        <w:instrText>ADDIN CSL_CITATION {"citationItems":[{"id":"ITEM-1","itemData":{"ISSN":"0946-672X","author":[{"dropping-particle":"","family":"Maret","given":"Wolfgang","non-dropping-particle":"","parse-names":false,"suffix":""},{"dropping-particle":"","family":"Sandstead","given":"Harold H","non-dropping-particle":"","parse-names":false,"suffix":""}],"container-title":"Journal of trace elements in medicine and biology","id":"ITEM-1","issue":"1","issued":{"date-parts":[["2006"]]},"page":"3-18","publisher":"Elsevier","title":"Zinc requirements and the risks and benefits of zinc supplementation","type":"article-journal","volume":"20"},"uris":["http://www.mendeley.com/documents/?uuid=41d5e68a-edda-4b0a-9f7d-1a530d1019a9"]},{"id":"ITEM-2","itemData":{"ISSN":"1476-7058","author":[{"dropping-particle":"","family":"Simpson","given":"Joe Leigh","non-dropping-particle":"","parse-names":false,"suffix":""},{"dropping-particle":"","family":"Bailey","given":"Lynn B","non-dropping-particle":"","parse-names":false,"suffix":""},{"dropping-particle":"","family":"Pietrzik","given":"Klaus","non-dropping-particle":"","parse-names":false,"suffix":""},{"dropping-particle":"","family":"Shane","given":"Barry","non-dropping-particle":"","parse-names":false,"suffix":""},{"dropping-particle":"","family":"Holzgreve","given":"Wolfgang","non-dropping-particle":"","parse-names":false,"suffix":""}],"container-title":"The Journal of Maternal-Fetal &amp; Neonatal Medicine","id":"ITEM-2","issue":"1","issued":{"date-parts":[["2011"]]},"page":"1-24","publisher":"Taylor &amp; Francis","title":"Micronutrients and women of reproductive potential: required dietary intake and consequences of dietary deficienty or excess. Part II-Vitamin D, Vitamin A, Iron, Zinc, Iodine, Essential Fatty Acids","type":"article-journal","volume":"24"},"uris":["http://www.mendeley.com/documents/?uuid=ae9f7611-1033-456a-831b-ca3e25c9bd40"]}],"mendeley":{"formattedCitation":"(Maret and Sandstead, 2006; Simpson &lt;i&gt;et al.&lt;/i&gt;, 2011)","plainTextFormattedCitation":"(Maret and Sandstead, 2006; Simpson et al., 2011)","previouslyFormattedCitation":"(Maret and Sandstead, 2006; Simpson &lt;i&gt;et al.&lt;/i&gt;, 2011)"},"properties":{"noteIndex":0},"schema":"https://github.com/citation-style-language/schema/raw/master/csl-citation.json"}</w:instrText>
      </w:r>
      <w:r w:rsidR="00DF0A46" w:rsidRPr="000A3ED3">
        <w:fldChar w:fldCharType="separate"/>
      </w:r>
      <w:r w:rsidR="00F417F3" w:rsidRPr="00F417F3">
        <w:rPr>
          <w:noProof/>
        </w:rPr>
        <w:t xml:space="preserve">(Maret and Sandstead, 2006; Simpson </w:t>
      </w:r>
      <w:r w:rsidR="00F417F3" w:rsidRPr="00F417F3">
        <w:rPr>
          <w:i/>
          <w:noProof/>
        </w:rPr>
        <w:t>et al.</w:t>
      </w:r>
      <w:r w:rsidR="00F417F3" w:rsidRPr="00F417F3">
        <w:rPr>
          <w:noProof/>
        </w:rPr>
        <w:t>, 2011)</w:t>
      </w:r>
      <w:r w:rsidR="00DF0A46" w:rsidRPr="000A3ED3">
        <w:fldChar w:fldCharType="end"/>
      </w:r>
      <w:r w:rsidR="00DF0A46" w:rsidRPr="000A3ED3">
        <w:t xml:space="preserve">. </w:t>
      </w:r>
      <w:r w:rsidR="00DF0A46" w:rsidRPr="00516256">
        <w:t>Nevertheless</w:t>
      </w:r>
      <w:r w:rsidR="00DF0A46" w:rsidRPr="000A3ED3">
        <w:t xml:space="preserve">, clinical trials </w:t>
      </w:r>
      <w:r w:rsidR="00EF08C3">
        <w:t>underpinned</w:t>
      </w:r>
      <w:r w:rsidR="00EF08C3" w:rsidRPr="000A3ED3">
        <w:t xml:space="preserve"> </w:t>
      </w:r>
      <w:r w:rsidR="00DF0A46" w:rsidRPr="000A3ED3">
        <w:t xml:space="preserve">the safety of zinc supplementation, indicating that zinc supplementation projects </w:t>
      </w:r>
      <w:r w:rsidR="00171998">
        <w:t>pose little risk</w:t>
      </w:r>
      <w:r w:rsidR="00DF0A46" w:rsidRPr="000A3ED3">
        <w:t xml:space="preserve"> to public health </w:t>
      </w:r>
      <w:r w:rsidR="00DF0A46" w:rsidRPr="000A3ED3">
        <w:fldChar w:fldCharType="begin" w:fldLock="1"/>
      </w:r>
      <w:r w:rsidR="00F417F3">
        <w:instrText>ADDIN CSL_CITATION {"citationItems":[{"id":"ITEM-1","itemData":{"author":[{"dropping-particle":"","family":"Fischer","given":"Christa","non-dropping-particle":"","parse-names":false,"suffix":""},{"dropping-particle":"","family":"Harvey","given":"Philip","non-dropping-particle":"","parse-names":false,"suffix":""}],"container-title":"The USAID Micronutrient Program","id":"ITEM-1","issued":{"date-parts":[["2005"]]},"page":"1-5","title":"Low risk of adverse effects from zinc supplementation","type":"article-journal"},"uris":["http://www.mendeley.com/documents/?uuid=7650d4f5-8b26-41e8-bfda-4fa430139239"]}],"mendeley":{"formattedCitation":"(Fischer and Harvey, 2005)","plainTextFormattedCitation":"(Fischer and Harvey, 2005)","previouslyFormattedCitation":"(Fischer and Harvey, 2005)"},"properties":{"noteIndex":0},"schema":"https://github.com/citation-style-language/schema/raw/master/csl-citation.json"}</w:instrText>
      </w:r>
      <w:r w:rsidR="00DF0A46" w:rsidRPr="000A3ED3">
        <w:fldChar w:fldCharType="separate"/>
      </w:r>
      <w:r w:rsidR="00F417F3" w:rsidRPr="00F417F3">
        <w:rPr>
          <w:noProof/>
        </w:rPr>
        <w:t>(Fischer and Harvey, 2005)</w:t>
      </w:r>
      <w:r w:rsidR="00DF0A46" w:rsidRPr="000A3ED3">
        <w:fldChar w:fldCharType="end"/>
      </w:r>
      <w:r w:rsidR="00DF0A46" w:rsidRPr="000A3ED3">
        <w:t>. The controvers</w:t>
      </w:r>
      <w:r w:rsidR="00EF08C3">
        <w:t xml:space="preserve">ies further confirm the need for </w:t>
      </w:r>
      <w:r w:rsidR="00DF0A46" w:rsidRPr="000A3ED3">
        <w:t xml:space="preserve">research </w:t>
      </w:r>
      <w:r w:rsidR="00171998">
        <w:t>into</w:t>
      </w:r>
      <w:r w:rsidR="00171998" w:rsidRPr="000A3ED3">
        <w:t xml:space="preserve"> </w:t>
      </w:r>
      <w:r w:rsidR="00DF0A46" w:rsidRPr="000A3ED3">
        <w:t>the safety of zinc supplementation.</w:t>
      </w:r>
      <w:r w:rsidR="00DF0A46" w:rsidRPr="0064292E">
        <w:rPr>
          <w:rFonts w:hint="eastAsia"/>
        </w:rPr>
        <w:t xml:space="preserve"> </w:t>
      </w:r>
      <w:r w:rsidR="00CB5E8C">
        <w:t>Although there is no direct medical evidence</w:t>
      </w:r>
      <w:r w:rsidR="00171998">
        <w:t xml:space="preserve"> to suggest</w:t>
      </w:r>
      <w:r w:rsidR="00CB5E8C">
        <w:t xml:space="preserve"> that consuming fortified food</w:t>
      </w:r>
      <w:r w:rsidR="00171998">
        <w:t>s</w:t>
      </w:r>
      <w:r w:rsidR="00CB5E8C">
        <w:t xml:space="preserve"> is safer than </w:t>
      </w:r>
      <w:r w:rsidR="00171998">
        <w:t>taking supplements</w:t>
      </w:r>
      <w:r w:rsidR="00CB5E8C">
        <w:t xml:space="preserve">, experts still tend to assume that the former poses fewer potential toxicity risks and is more benign </w:t>
      </w:r>
      <w:r w:rsidR="00CB5E8C">
        <w:fldChar w:fldCharType="begin" w:fldLock="1"/>
      </w:r>
      <w:r w:rsidR="00F417F3">
        <w:instrText>ADDIN CSL_CITATION {"citationItems":[{"id":"ITEM-1","itemData":{"author":[{"dropping-particle":"","family":"Hillebrandt","given":"Hauke","non-dropping-particle":"","parse-names":false,"suffix":""},{"dropping-particle":"","family":"Engelbert","given":"Mark","non-dropping-particle":"","parse-names":false,"suffix":""}],"id":"ITEM-1","issued":{"date-parts":[["2015"]]},"title":"Micronutrient Fortification","type":"report"},"uris":["http://www.mendeley.com/documents/?uuid=db39a7c1-cde1-4105-b09d-fbace0707192"]}],"mendeley":{"formattedCitation":"(Hillebrandt and Engelbert, 2015)","manualFormatting":"(Hillebrandt and Engelbert, 2015)","plainTextFormattedCitation":"(Hillebrandt and Engelbert, 2015)","previouslyFormattedCitation":"(Hillebrandt and Engelbert, 2015)"},"properties":{"noteIndex":0},"schema":"https://github.com/citation-style-language/schema/raw/master/csl-citation.json"}</w:instrText>
      </w:r>
      <w:r w:rsidR="00CB5E8C">
        <w:fldChar w:fldCharType="separate"/>
      </w:r>
      <w:r w:rsidR="00CB5E8C">
        <w:rPr>
          <w:noProof/>
        </w:rPr>
        <w:t xml:space="preserve">(Hillebrandt </w:t>
      </w:r>
      <w:r w:rsidR="000F7EBA">
        <w:rPr>
          <w:noProof/>
        </w:rPr>
        <w:t>and</w:t>
      </w:r>
      <w:r w:rsidR="00CB5E8C">
        <w:rPr>
          <w:noProof/>
        </w:rPr>
        <w:t xml:space="preserve"> Engelbert, 2015)</w:t>
      </w:r>
      <w:r w:rsidR="00CB5E8C">
        <w:fldChar w:fldCharType="end"/>
      </w:r>
      <w:r w:rsidR="00CB5E8C">
        <w:t>.</w:t>
      </w:r>
      <w:r w:rsidR="00243D3D" w:rsidRPr="00243D3D">
        <w:t xml:space="preserve"> </w:t>
      </w:r>
      <w:r w:rsidR="00243D3D" w:rsidRPr="00746BAE">
        <w:t xml:space="preserve">Although voluntary flour fortification </w:t>
      </w:r>
      <w:r w:rsidR="00243D3D">
        <w:t>is not as widespread</w:t>
      </w:r>
      <w:r w:rsidR="00243D3D" w:rsidRPr="00746BAE">
        <w:t xml:space="preserve"> in China as</w:t>
      </w:r>
      <w:r w:rsidR="00243D3D">
        <w:t xml:space="preserve"> it is</w:t>
      </w:r>
      <w:r w:rsidR="00243D3D" w:rsidRPr="00746BAE">
        <w:t xml:space="preserve"> in</w:t>
      </w:r>
      <w:r w:rsidR="00171998" w:rsidRPr="00171998">
        <w:t xml:space="preserve"> other countries, such as the United States</w:t>
      </w:r>
      <w:r w:rsidR="00243D3D" w:rsidRPr="00746BAE">
        <w:t xml:space="preserve">, it is </w:t>
      </w:r>
      <w:r w:rsidR="00C841FC">
        <w:t xml:space="preserve">still </w:t>
      </w:r>
      <w:r w:rsidR="00C841FC" w:rsidRPr="00C841FC">
        <w:t>necessary</w:t>
      </w:r>
      <w:r w:rsidR="00C841FC">
        <w:t xml:space="preserve"> </w:t>
      </w:r>
      <w:r w:rsidR="00243D3D" w:rsidRPr="00746BAE">
        <w:t xml:space="preserve">to discuss the potential risks </w:t>
      </w:r>
      <w:r w:rsidR="00243D3D">
        <w:rPr>
          <w:rFonts w:hint="eastAsia"/>
        </w:rPr>
        <w:t>o</w:t>
      </w:r>
      <w:r w:rsidR="00243D3D">
        <w:t xml:space="preserve">f </w:t>
      </w:r>
      <w:r w:rsidR="00243D3D" w:rsidRPr="00746BAE">
        <w:t xml:space="preserve">excessive intake in advance to </w:t>
      </w:r>
      <w:r w:rsidR="00243D3D">
        <w:t>avoid</w:t>
      </w:r>
      <w:r w:rsidR="00243D3D" w:rsidRPr="00746BAE">
        <w:t xml:space="preserve"> future </w:t>
      </w:r>
      <w:r w:rsidR="00C646F7">
        <w:t>challenges</w:t>
      </w:r>
      <w:r w:rsidR="00243D3D" w:rsidRPr="00746BAE">
        <w:t>.</w:t>
      </w:r>
    </w:p>
    <w:p w14:paraId="0FB28B86" w14:textId="646AB695" w:rsidR="00282292" w:rsidRPr="0064292E" w:rsidRDefault="009113B7" w:rsidP="00475B67">
      <w:pPr>
        <w:ind w:firstLine="480"/>
        <w:rPr>
          <w:lang w:val="nl-BE"/>
        </w:rPr>
      </w:pPr>
      <w:r>
        <w:t>Furthermore</w:t>
      </w:r>
      <w:r w:rsidR="00C16AE1">
        <w:t xml:space="preserve">, </w:t>
      </w:r>
      <w:r w:rsidR="00A74C95">
        <w:t xml:space="preserve">consumers acceptance </w:t>
      </w:r>
      <w:r w:rsidR="000E689E">
        <w:t>is</w:t>
      </w:r>
      <w:r w:rsidR="00A74C95">
        <w:t xml:space="preserve"> vital </w:t>
      </w:r>
      <w:r w:rsidR="000E689E">
        <w:t>for</w:t>
      </w:r>
      <w:r w:rsidR="00A74C95">
        <w:t xml:space="preserve"> the promotion of health interventions, which </w:t>
      </w:r>
      <w:r>
        <w:t xml:space="preserve">is </w:t>
      </w:r>
      <w:r w:rsidR="00A74C95">
        <w:t xml:space="preserve">ignored </w:t>
      </w:r>
      <w:r>
        <w:t xml:space="preserve">in </w:t>
      </w:r>
      <w:r w:rsidR="00A74C95">
        <w:t xml:space="preserve">many of the current economic evaluation studies. </w:t>
      </w:r>
      <w:proofErr w:type="spellStart"/>
      <w:r w:rsidR="00653EA5" w:rsidRPr="006464E8">
        <w:t>Rabovskaja</w:t>
      </w:r>
      <w:proofErr w:type="spellEnd"/>
      <w:r w:rsidR="00653EA5" w:rsidRPr="006464E8">
        <w:t xml:space="preserve"> et al. (2013) initially </w:t>
      </w:r>
      <w:r w:rsidR="00A20ACE" w:rsidRPr="00A20ACE">
        <w:t xml:space="preserve">considered consumer perceptions </w:t>
      </w:r>
      <w:r w:rsidR="00A20ACE">
        <w:t xml:space="preserve">as indirect cost </w:t>
      </w:r>
      <w:r w:rsidR="00A20ACE" w:rsidRPr="00A20ACE">
        <w:t>when evaluating</w:t>
      </w:r>
      <w:r w:rsidR="00653EA5" w:rsidRPr="006464E8">
        <w:t xml:space="preserve"> the economic effectiveness of mandatory fortification of folic acid in wheat flour in Australia</w:t>
      </w:r>
      <w:r w:rsidR="00415209">
        <w:t xml:space="preserve">, similar as </w:t>
      </w:r>
      <w:r w:rsidR="00DC5F77">
        <w:fldChar w:fldCharType="begin" w:fldLock="1"/>
      </w:r>
      <w:r w:rsidR="00014E8C">
        <w:instrText>ADDIN CSL_CITATION {"citationItems":[{"id":"ITEM-1","itemData":{"author":[{"dropping-particle":"","family":"Steur","given":"Hans","non-dropping-particle":"De","parse-names":false,"suffix":""},{"dropping-particle":"","family":"Gellynck","given":"Xavier","non-dropping-particle":"","parse-names":false,"suffix":""},{"dropping-particle":"","family":"Storozhenko","given":"Sergei","non-dropping-particle":"","parse-names":false,"suffix":""},{"dropping-particle":"","family":"Liqun","given":"Ge","non-dropping-particle":"","parse-names":false,"suffix":""},{"dropping-particle":"","family":"Lambert","given":"Willy","non-dropping-particle":"","parse-names":false,"suffix":""},{"dropping-particle":"","family":"Straeten","given":"Domoninque","non-dropping-particle":"Van Der","parse-names":false,"suffix":""},{"dropping-particle":"","family":"Viaene","given":"Jacques","non-dropping-particle":"","parse-names":false,"suffix":""}],"container-title":"Nature Biotechnology","id":"ITEM-1","issue":"6","issued":{"date-parts":[["2010"]]},"page":"554-556","title":"The health benefits of folate biofortified rice in China","type":"article-journal","volume":"28"},"uris":["http://www.mendeley.com/documents/?uuid=cc6ab12c-e1ba-401d-93c4-7cd9224fc5a9"]},{"id":"ITEM-2","itemData":{"DOI":"10.1016/j.nbt.2011.11.012","ISSN":"18716784","PMID":"22154941","abstract":"Biofortification, that is, improving the micronutrient content of staple foods through crop breeding, could be a pro-poor, pro-rural, agriculture-based intervention to reduce the health burden of micronutrient malnutrition. While the potential cost-effectiveness of crops biofortified with single micronutrients was shown in previous research, poor people often suffer from multiple micronutrient deficiencies, which should be accounted for in biofortification initiatives. This study is the first to estimate the potential health benefits and cost-effectiveness of multi-biofortification. Rice with enhanced provitamin A, zinc, iron and folate concentrations is used as a concrete example. The research is conducted for China, the largest rice producer in the world, where micronutrient malnutrition remains a major public health problem. Using the DALY (disability-adjusted life year) framework, the current annual health burden of the four micronutrient deficiencies in China is estimated at 10.6 million DALYs. Introducing multi-biofortified rice could lower this burden by up to 46%. Given the large positive health impact and low recurrent costs of multi-biofortification, this intervention could be very cost effective: under optimistic assumptions, the cost per DALY saved would be around US$ 2; it would stay below US$ 10 even under pessimistic assumptions. © 2011 Elsevier B.V.","author":[{"dropping-particle":"","family":"Steur","given":"Hans","non-dropping-particle":"De","parse-names":false,"suffix":""},{"dropping-particle":"","family":"Gellynck","given":"Xavier","non-dropping-particle":"","parse-names":false,"suffix":""},{"dropping-particle":"","family":"Blancquaert","given":"Dieter","non-dropping-particle":"","parse-names":false,"suffix":""},{"dropping-particle":"","family":"Lambert","given":"Willy","non-dropping-particle":"","parse-names":false,"suffix":""},{"dropping-particle":"","family":"Straeten","given":"Dominique","non-dropping-particle":"van der","parse-names":false,"suffix":""},{"dropping-particle":"","family":"Qaim","given":"Matin","non-dropping-particle":"","parse-names":false,"suffix":""}],"container-title":"New Biotechnology","id":"ITEM-2","issue":"3","issued":{"date-parts":[["2012"]]},"page":"432-442","publisher":"Elsevier B.V.","title":"Potential impact and cost-effectiveness of multi-biofortified rice in China","type":"article-journal","volume":"29"},"uris":["http://www.mendeley.com/documents/?uuid=fadd761e-24b8-4808-94c7-dd9459d40ea0"]}],"mendeley":{"formattedCitation":"(De Steur, Gellynck, Sergei Storozhenko, &lt;i&gt;et al.&lt;/i&gt;, 2010; De Steur, Gellynck, Blancquaert, Lambert, van der Straeten, &lt;i&gt;et al.&lt;/i&gt;, 2012)","manualFormatting":"De Steur et al. (2010; 2012)","plainTextFormattedCitation":"(De Steur, Gellynck, Sergei Storozhenko, et al., 2010; De Steur, Gellynck, Blancquaert, Lambert, van der Straeten, et al., 2012)","previouslyFormattedCitation":"(De Steur, Gellynck, Sergei Storozhenko, &lt;i&gt;et al.&lt;/i&gt;, 2010; De Steur, Gellynck, Blancquaert, Lambert, van der Straeten, &lt;i&gt;et al.&lt;/i&gt;, 2012)"},"properties":{"noteIndex":0},"schema":"https://github.com/citation-style-language/schema/raw/master/csl-citation.json"}</w:instrText>
      </w:r>
      <w:r w:rsidR="00DC5F77">
        <w:fldChar w:fldCharType="separate"/>
      </w:r>
      <w:r w:rsidR="00DC5F77" w:rsidRPr="00DC5F77">
        <w:rPr>
          <w:noProof/>
        </w:rPr>
        <w:t>De Steur</w:t>
      </w:r>
      <w:r w:rsidR="00DC5F77">
        <w:rPr>
          <w:noProof/>
        </w:rPr>
        <w:t xml:space="preserve"> </w:t>
      </w:r>
      <w:r w:rsidR="00DC5F77" w:rsidRPr="00DC5F77">
        <w:rPr>
          <w:i/>
          <w:noProof/>
        </w:rPr>
        <w:t>et al.</w:t>
      </w:r>
      <w:r w:rsidR="00DC5F77" w:rsidRPr="00DC5F77">
        <w:rPr>
          <w:noProof/>
        </w:rPr>
        <w:t xml:space="preserve"> </w:t>
      </w:r>
      <w:r w:rsidR="00DC5F77">
        <w:rPr>
          <w:noProof/>
        </w:rPr>
        <w:t>(</w:t>
      </w:r>
      <w:r w:rsidR="00DC5F77" w:rsidRPr="00DC5F77">
        <w:rPr>
          <w:noProof/>
        </w:rPr>
        <w:t>2010; 2012)</w:t>
      </w:r>
      <w:r w:rsidR="00DC5F77">
        <w:fldChar w:fldCharType="end"/>
      </w:r>
      <w:r w:rsidR="00415209">
        <w:t>did for folate and multi-biofortification in rice in China</w:t>
      </w:r>
      <w:r w:rsidR="00AB152C">
        <w:t>.</w:t>
      </w:r>
      <w:r w:rsidR="00415209">
        <w:t xml:space="preserve"> </w:t>
      </w:r>
      <w:r w:rsidR="000E689E">
        <w:t xml:space="preserve"> T</w:t>
      </w:r>
      <w:r w:rsidR="00653EA5" w:rsidRPr="006464E8">
        <w:t xml:space="preserve">his study </w:t>
      </w:r>
      <w:r w:rsidR="008F210B">
        <w:t xml:space="preserve">will </w:t>
      </w:r>
      <w:r w:rsidR="00653EA5" w:rsidRPr="006464E8">
        <w:t xml:space="preserve">comprehensively evaluate and compare </w:t>
      </w:r>
      <w:r w:rsidR="008F210B">
        <w:t xml:space="preserve">different </w:t>
      </w:r>
      <w:r w:rsidR="00653EA5" w:rsidRPr="006464E8">
        <w:t>zinc interventions</w:t>
      </w:r>
      <w:r w:rsidR="000E689E">
        <w:t xml:space="preserve">. </w:t>
      </w:r>
      <w:r w:rsidR="00A74C95" w:rsidRPr="00A74C95">
        <w:t>For the biofortification projects, zinc can be biofortified through conventional breeding, agronomic techniques, and biotechnologies.</w:t>
      </w:r>
      <w:r w:rsidR="00A74C95">
        <w:t xml:space="preserve"> Some novel techniques, such as g</w:t>
      </w:r>
      <w:r w:rsidR="00A74C95" w:rsidRPr="00A74C95">
        <w:t>enetic modification</w:t>
      </w:r>
      <w:r w:rsidR="00A74C95">
        <w:t xml:space="preserve">, </w:t>
      </w:r>
      <w:r w:rsidR="008F210B">
        <w:t>have</w:t>
      </w:r>
      <w:r w:rsidR="008F210B" w:rsidRPr="00A74C95">
        <w:t xml:space="preserve"> </w:t>
      </w:r>
      <w:r w:rsidR="00A74C95" w:rsidRPr="00A74C95">
        <w:t>successfully increased the zinc concentration in the endosperm, avoiding the antagonistic effect of phytic acid in the aleurone layer and elevating the zinc bioavailability in the human body</w:t>
      </w:r>
      <w:r w:rsidR="00DC5F77">
        <w:t xml:space="preserve"> </w:t>
      </w:r>
      <w:r w:rsidR="00DC5F77">
        <w:fldChar w:fldCharType="begin" w:fldLock="1"/>
      </w:r>
      <w:r w:rsidR="00DC5F77">
        <w:instrText>ADDIN CSL_CITATION {"citationItems":[{"id":"ITEM-1","itemData":{"ISSN":"1573-5036","author":[{"dropping-particle":"","family":"Cakmak","given":"Ismail","non-dropping-particle":"","parse-names":false,"suffix":""}],"container-title":"Plant and soil","id":"ITEM-1","issue":"1","issued":{"date-parts":[["2008"]]},"page":"1-17","publisher":"Springer","title":"Enrichment of cereal grains with zinc: agronomic or genetic biofortification?","type":"article-journal","volume":"302"},"uris":["http://www.mendeley.com/documents/?uuid=b4fe8217-1f70-4363-9120-73a0e0b2f003"]}],"mendeley":{"formattedCitation":"(Cakmak, 2008)","plainTextFormattedCitation":"(Cakmak, 2008)","previouslyFormattedCitation":"(Cakmak, 2008)"},"properties":{"noteIndex":0},"schema":"https://github.com/citation-style-language/schema/raw/master/csl-citation.json"}</w:instrText>
      </w:r>
      <w:r w:rsidR="00DC5F77">
        <w:fldChar w:fldCharType="separate"/>
      </w:r>
      <w:r w:rsidR="00DC5F77" w:rsidRPr="00DC5F77">
        <w:rPr>
          <w:noProof/>
        </w:rPr>
        <w:t>(Cakmak, 2008)</w:t>
      </w:r>
      <w:r w:rsidR="00DC5F77">
        <w:fldChar w:fldCharType="end"/>
      </w:r>
      <w:r w:rsidR="00A74C95" w:rsidRPr="00A74C95">
        <w:t>. However,</w:t>
      </w:r>
      <w:r w:rsidR="00763F28" w:rsidRPr="00763F28">
        <w:t xml:space="preserve"> genetically modified (GM) foods remain controversial in Chinese society.</w:t>
      </w:r>
      <w:r w:rsidR="00A74C95" w:rsidRPr="00A74C95">
        <w:t xml:space="preserve"> </w:t>
      </w:r>
      <w:r w:rsidR="00763F28">
        <w:t>There was a large amount of disagreement among the s</w:t>
      </w:r>
      <w:r w:rsidR="00A74C95">
        <w:t>tudies</w:t>
      </w:r>
      <w:r w:rsidR="00763F28">
        <w:t xml:space="preserve"> regarding the</w:t>
      </w:r>
      <w:r w:rsidR="00A74C95">
        <w:t xml:space="preserve"> consumers</w:t>
      </w:r>
      <w:r w:rsidR="00763F28">
        <w:t>’</w:t>
      </w:r>
      <w:r w:rsidR="00A74C95">
        <w:t xml:space="preserve"> acceptance of </w:t>
      </w:r>
      <w:r w:rsidR="008F210B">
        <w:t xml:space="preserve">GM </w:t>
      </w:r>
      <w:r w:rsidR="00A74C95">
        <w:t xml:space="preserve">biofortified foods. Some indicated that Chinese consumers have an </w:t>
      </w:r>
      <w:r w:rsidR="00A74C95">
        <w:lastRenderedPageBreak/>
        <w:t xml:space="preserve">average negative </w:t>
      </w:r>
      <w:r w:rsidR="008F210B">
        <w:t xml:space="preserve">attitude </w:t>
      </w:r>
      <w:r w:rsidR="00A74C95">
        <w:fldChar w:fldCharType="begin" w:fldLock="1"/>
      </w:r>
      <w:r w:rsidR="00010E6A">
        <w:instrText>ADDIN CSL_CITATION {"citationItems":[{"id":"ITEM-1","itemData":{"author":[{"dropping-particle":"","family":"Jin","given":"Jing","non-dropping-particle":"","parse-names":false,"suffix":""}],"id":"ITEM-1","issued":{"date-parts":[["2014"]]},"publisher":"University of Arkansas, Fayetteville","title":"Consumer Acceptance and Willingness to Pay for Genetically Modified Rice in China: A Double Bounded Dichotomous Choic Contingent V Contingent Valuation Survey Calibrated by Cheap Talk","type":"thesis"},"uris":["http://www.mendeley.com/documents/?uuid=fef7e6f1-a105-4314-9d15-8aea06801734"]},{"id":"ITEM-2","itemData":{"DOI":"10.1111/1477-9552.12264","ISSN":"14779552","abstract":"We investigate consumer demand for genetically modified (GM) rice in urban China, using a relatively large survey of urban consumers in 2013 and the contingent valuation method. Our results show that respondents discount their WTP for first, second and third generation of GM rice by 31%, 34% and 36%, respectively, compared with non-GM rice, indicating substantial aversion to GM rice by Chinese consumers. The level of consumers’ subjective knowledge of GM rice has a significantly negative impact on their WTP for GM rice, implying that GM rice in China has become a ‘special food’ with an unreliable image.","author":[{"dropping-particle":"","family":"Zheng","given":"Zhihao","non-dropping-particle":"","parse-names":false,"suffix":""},{"dropping-particle":"","family":"Henneberry","given":"Shida R.","non-dropping-particle":"","parse-names":false,"suffix":""},{"dropping-particle":"","family":"Sun","given":"Chuanzhong","non-dropping-particle":"","parse-names":false,"suffix":""},{"dropping-particle":"","family":"Nayga","given":"Rodolfo M.","non-dropping-particle":"","parse-names":false,"suffix":""}],"container-title":"Journal of Agricultural Economics","id":"ITEM-2","issue":"3","issued":{"date-parts":[["2018"]]},"page":"705-725","title":"Consumer Demand for Genetically Modified Rice in Urban China","type":"article-journal","volume":"69"},"uris":["http://www.mendeley.com/documents/?uuid=66dd8933-3f04-49dd-ac9d-567c5e1ff008"]},{"id":"ITEM-3","itemData":{"ISSN":"1068-5502","author":[{"dropping-particle":"","family":"Hu","given":"Wuyang","non-dropping-particle":"","parse-names":false,"suffix":""},{"dropping-particle":"","family":"Zhong","given":"Funing","non-dropping-particle":"","parse-names":false,"suffix":""},{"dropping-particle":"","family":"Ding","given":"Yulian","non-dropping-particle":"","parse-names":false,"suffix":""}],"container-title":"Journal of Agricultural and Resource Economics","id":"ITEM-3","issued":{"date-parts":[["2006"]]},"page":"376-390","publisher":"JSTOR","title":"Actual media reports on GM foods and Chinese consumers' willingness to pay for GM soybean oil","type":"article-journal"},"uris":["http://www.mendeley.com/documents/?uuid=0bac42f3-79c4-418f-bc5b-0deb4c9259cc"]}],"mendeley":{"formattedCitation":"(Hu, Zhong and Ding, 2006; Jin, 2014; Zheng &lt;i&gt;et al.&lt;/i&gt;, 2018)","plainTextFormattedCitation":"(Hu, Zhong and Ding, 2006; Jin, 2014; Zheng et al., 2018)","previouslyFormattedCitation":"(Hu, Zhong and Ding, 2006; Jin, 2014; Zheng &lt;i&gt;et al.&lt;/i&gt;, 2018)"},"properties":{"noteIndex":0},"schema":"https://github.com/citation-style-language/schema/raw/master/csl-citation.json"}</w:instrText>
      </w:r>
      <w:r w:rsidR="00A74C95">
        <w:fldChar w:fldCharType="separate"/>
      </w:r>
      <w:r w:rsidR="00010E6A" w:rsidRPr="00010E6A">
        <w:rPr>
          <w:noProof/>
        </w:rPr>
        <w:t xml:space="preserve">(Hu, Zhong and Ding, 2006; Jin, 2014; Zheng </w:t>
      </w:r>
      <w:r w:rsidR="00010E6A" w:rsidRPr="00010E6A">
        <w:rPr>
          <w:i/>
          <w:noProof/>
        </w:rPr>
        <w:t>et al.</w:t>
      </w:r>
      <w:r w:rsidR="00010E6A" w:rsidRPr="00010E6A">
        <w:rPr>
          <w:noProof/>
        </w:rPr>
        <w:t>, 2018)</w:t>
      </w:r>
      <w:r w:rsidR="00A74C95">
        <w:fldChar w:fldCharType="end"/>
      </w:r>
      <w:r w:rsidR="00376DD7">
        <w:t xml:space="preserve">, while others </w:t>
      </w:r>
      <w:r w:rsidR="00A74C95">
        <w:t xml:space="preserve">reported that </w:t>
      </w:r>
      <w:r w:rsidR="00755AFF">
        <w:t>they</w:t>
      </w:r>
      <w:r w:rsidR="00A74C95">
        <w:t xml:space="preserve"> </w:t>
      </w:r>
      <w:r w:rsidR="00376DD7">
        <w:t>are willing to pay premiums</w:t>
      </w:r>
      <w:r w:rsidR="00A74C95">
        <w:t xml:space="preserve">, especially </w:t>
      </w:r>
      <w:r w:rsidR="00376DD7">
        <w:t xml:space="preserve">for </w:t>
      </w:r>
      <w:r w:rsidR="008F210B">
        <w:t xml:space="preserve">GM biofortified </w:t>
      </w:r>
      <w:r w:rsidR="00A74C95">
        <w:t>foods</w:t>
      </w:r>
      <w:r w:rsidR="00763F28">
        <w:t xml:space="preserve"> </w:t>
      </w:r>
      <w:r w:rsidR="00AA514F">
        <w:t xml:space="preserve">with </w:t>
      </w:r>
      <w:r w:rsidR="00763F28">
        <w:t>enhanced micronutrients content</w:t>
      </w:r>
      <w:r w:rsidR="00DC5F77">
        <w:t xml:space="preserve"> </w:t>
      </w:r>
      <w:r w:rsidR="00DC5F77">
        <w:fldChar w:fldCharType="begin" w:fldLock="1"/>
      </w:r>
      <w:r w:rsidR="00DC5F77">
        <w:instrText>ADDIN CSL_CITATION {"citationItems":[{"id":"ITEM-1","itemData":{"ISSN":"1522-936X","author":[{"dropping-particle":"","family":"Li","given":"Quan","non-dropping-particle":"","parse-names":false,"suffix":""},{"dropping-particle":"","family":"Curtis","given":"Kynda R","non-dropping-particle":"","parse-names":false,"suffix":""},{"dropping-particle":"","family":"McCluskey","given":"Jill J","non-dropping-particle":"","parse-names":false,"suffix":""},{"dropping-particle":"","family":"Wahl","given":"Thomas I","non-dropping-particle":"","parse-names":false,"suffix":""}],"container-title":"AgBioForum","id":"ITEM-1","issue":"4","issued":{"date-parts":[["2002"]]},"page":"145-152","publisher":"AgBioForum","title":"Consumer attitudes toward genetically modified foods in Beijing, China","type":"article-journal","volume":"5"},"uris":["http://www.mendeley.com/documents/?uuid=c2342d45-a1ba-4d41-a025-7303b072af9e"]},{"id":"ITEM-2","itemData":{"ISSN":"0195-6663","author":[{"dropping-particle":"","family":"Steur","given":"Hans","non-dropping-particle":"De","parse-names":false,"suffix":""},{"dropping-particle":"","family":"Gellynck","given":"Xavier","non-dropping-particle":"","parse-names":false,"suffix":""},{"dropping-particle":"","family":"Storozhenko","given":"S","non-dropping-particle":"","parse-names":false,"suffix":""},{"dropping-particle":"","family":"Liqun","given":"Ge","non-dropping-particle":"","parse-names":false,"suffix":""},{"dropping-particle":"","family":"Lambert","given":"Willy","non-dropping-particle":"","parse-names":false,"suffix":""},{"dropping-particle":"","family":"Straeten","given":"Dominique","non-dropping-particle":"Van Der","parse-names":false,"suffix":""},{"dropping-particle":"","family":"Viaene","given":"Jacques","non-dropping-particle":"","parse-names":false,"suffix":""}],"container-title":"Appetite","id":"ITEM-2","issue":"1","issued":{"date-parts":[["2010"]]},"page":"118-125","publisher":"Elsevier","title":"Willingness-to-accept and purchase genetically modified rice with high folate content in Shanxi Province, China","type":"article-journal","volume":"54"},"uris":["http://www.mendeley.com/documents/?uuid=bb6153a1-8a2a-417e-97e4-a0ae86609241"]},{"id":"ITEM-3","itemData":{"ISSN":"1546-1696","author":[{"dropping-particle":"","family":"Steur","given":"Hans","non-dropping-particle":"De","parse-names":false,"suffix":""},{"dropping-particle":"","family":"Blancquaert","given":"Dieter","non-dropping-particle":"","parse-names":false,"suffix":""},{"dropping-particle":"","family":"Strobbe","given":"Simon","non-dropping-particle":"","parse-names":false,"suffix":""},{"dropping-particle":"","family":"Lambert","given":"Willy","non-dropping-particle":"","parse-names":false,"suffix":""},{"dropping-particle":"","family":"Gellynck","given":"Xavier","non-dropping-particle":"","parse-names":false,"suffix":""},{"dropping-particle":"","family":"Straeten","given":"Dominique","non-dropping-particle":"Van Der","parse-names":false,"suffix":""}],"container-title":"Nature biotechnology","id":"ITEM-3","issue":"1","issued":{"date-parts":[["2015"]]},"page":"25-29","publisher":"Nature Publishing Group","title":"Status and market potential of transgenic biofortified crops","type":"article-journal","volume":"33"},"uris":["http://www.mendeley.com/documents/?uuid=fbc5b1bf-eb5f-4042-86de-b67f68acb11c"]}],"mendeley":{"formattedCitation":"(Li &lt;i&gt;et al.&lt;/i&gt;, 2002; De Steur, Gellynck, S Storozhenko, &lt;i&gt;et al.&lt;/i&gt;, 2010; De Steur &lt;i&gt;et al.&lt;/i&gt;, 2015)","manualFormatting":"(Li et al., 2002; De Steur et al., 2010; De Steur et al., 2015)","plainTextFormattedCitation":"(Li et al., 2002; De Steur, Gellynck, S Storozhenko, et al., 2010; De Steur et al., 2015)","previouslyFormattedCitation":"(Li &lt;i&gt;et al.&lt;/i&gt;, 2002; De Steur, Gellynck, S Storozhenko, &lt;i&gt;et al.&lt;/i&gt;, 2010; De Steur &lt;i&gt;et al.&lt;/i&gt;, 2015)"},"properties":{"noteIndex":0},"schema":"https://github.com/citation-style-language/schema/raw/master/csl-citation.json"}</w:instrText>
      </w:r>
      <w:r w:rsidR="00DC5F77">
        <w:fldChar w:fldCharType="separate"/>
      </w:r>
      <w:r w:rsidR="00DC5F77" w:rsidRPr="00DC5F77">
        <w:rPr>
          <w:noProof/>
        </w:rPr>
        <w:t xml:space="preserve">(Li </w:t>
      </w:r>
      <w:r w:rsidR="00DC5F77" w:rsidRPr="00DC5F77">
        <w:rPr>
          <w:i/>
          <w:noProof/>
        </w:rPr>
        <w:t>et al.</w:t>
      </w:r>
      <w:r w:rsidR="00DC5F77" w:rsidRPr="00DC5F77">
        <w:rPr>
          <w:noProof/>
        </w:rPr>
        <w:t xml:space="preserve">, 2002; De Steur </w:t>
      </w:r>
      <w:r w:rsidR="00DC5F77" w:rsidRPr="00DC5F77">
        <w:rPr>
          <w:i/>
          <w:noProof/>
        </w:rPr>
        <w:t>et al.</w:t>
      </w:r>
      <w:r w:rsidR="00DC5F77" w:rsidRPr="00DC5F77">
        <w:rPr>
          <w:noProof/>
        </w:rPr>
        <w:t xml:space="preserve">, 2010; De Steur </w:t>
      </w:r>
      <w:r w:rsidR="00DC5F77" w:rsidRPr="00DC5F77">
        <w:rPr>
          <w:i/>
          <w:noProof/>
        </w:rPr>
        <w:t>et al.</w:t>
      </w:r>
      <w:r w:rsidR="00DC5F77" w:rsidRPr="00DC5F77">
        <w:rPr>
          <w:noProof/>
        </w:rPr>
        <w:t>, 2015)</w:t>
      </w:r>
      <w:r w:rsidR="00DC5F77">
        <w:fldChar w:fldCharType="end"/>
      </w:r>
      <w:r w:rsidR="00A74C95" w:rsidRPr="0064292E">
        <w:rPr>
          <w:lang w:val="nl-BE"/>
        </w:rPr>
        <w:t>.</w:t>
      </w:r>
    </w:p>
    <w:p w14:paraId="75F780A5" w14:textId="69165803" w:rsidR="00282292" w:rsidRDefault="004677F9" w:rsidP="00475B67">
      <w:pPr>
        <w:ind w:firstLine="480"/>
      </w:pPr>
      <w:r>
        <w:rPr>
          <w:rFonts w:hint="eastAsia"/>
        </w:rPr>
        <w:t>Overall,</w:t>
      </w:r>
      <w:r>
        <w:t xml:space="preserve"> </w:t>
      </w:r>
      <w:r w:rsidR="008F210B">
        <w:t xml:space="preserve">past </w:t>
      </w:r>
      <w:r>
        <w:t>literature</w:t>
      </w:r>
      <w:r w:rsidR="00755AFF">
        <w:t xml:space="preserve"> </w:t>
      </w:r>
      <w:r w:rsidR="008F210B">
        <w:t xml:space="preserve">on </w:t>
      </w:r>
      <w:r w:rsidR="00755AFF">
        <w:t xml:space="preserve">zinc intervention evaluations </w:t>
      </w:r>
      <w:r w:rsidR="008F210B">
        <w:t xml:space="preserve">did </w:t>
      </w:r>
      <w:r w:rsidR="00755AFF">
        <w:t xml:space="preserve">not comprehensively include the </w:t>
      </w:r>
      <w:r w:rsidR="0053779F">
        <w:t xml:space="preserve">possible </w:t>
      </w:r>
      <w:r w:rsidR="00755AFF">
        <w:t xml:space="preserve">adverse </w:t>
      </w:r>
      <w:r w:rsidR="0053779F">
        <w:t>outcomes</w:t>
      </w:r>
      <w:r w:rsidR="00755AFF">
        <w:t xml:space="preserve"> and social impacts</w:t>
      </w:r>
      <w:r w:rsidR="008F210B">
        <w:t xml:space="preserve">, nor </w:t>
      </w:r>
      <w:r w:rsidR="00755AFF">
        <w:t>conducted sensitivity analysis</w:t>
      </w:r>
      <w:r w:rsidR="008F210B">
        <w:t xml:space="preserve"> and </w:t>
      </w:r>
      <w:r w:rsidR="0053779F">
        <w:t xml:space="preserve">relied on </w:t>
      </w:r>
      <w:r w:rsidR="00755AFF">
        <w:t xml:space="preserve">simplistic modelling in the evaluation. </w:t>
      </w:r>
      <w:r w:rsidR="00282292">
        <w:t>To the best of our knowledge, this study is the first to compare the cost-effectiveness of different public health interventions designed to alleviate zinc deficiency</w:t>
      </w:r>
      <w:r w:rsidR="004B1635">
        <w:t xml:space="preserve"> by using Markov model</w:t>
      </w:r>
      <w:r w:rsidR="00282292">
        <w:t xml:space="preserve">, taking into account both the potential risks and how the general consumers </w:t>
      </w:r>
      <w:r w:rsidR="00963381">
        <w:t>perceive</w:t>
      </w:r>
      <w:r w:rsidR="00282292">
        <w:t xml:space="preserve"> them. </w:t>
      </w:r>
    </w:p>
    <w:p w14:paraId="5CF687E1" w14:textId="6D7FC921" w:rsidR="00282292" w:rsidRDefault="00282292" w:rsidP="00475B67">
      <w:pPr>
        <w:ind w:firstLine="480"/>
      </w:pPr>
      <w:r w:rsidRPr="00EB52E5">
        <w:t>The goals of this research are twofold:</w:t>
      </w:r>
      <w:r w:rsidRPr="00EB52E5" w:rsidDel="00EB52E5">
        <w:t xml:space="preserve"> </w:t>
      </w:r>
      <w:r>
        <w:t xml:space="preserve">1) </w:t>
      </w:r>
      <w:r w:rsidR="00935E82">
        <w:t xml:space="preserve">to </w:t>
      </w:r>
      <w:r>
        <w:t xml:space="preserve">conduct a comprehensive evaluation of the cost-effectiveness of alternative zinc deficiency interventions; and 2) </w:t>
      </w:r>
      <w:r w:rsidR="00935E82">
        <w:t xml:space="preserve">to </w:t>
      </w:r>
      <w:r>
        <w:t>determine the most cost-effective intervention approach by comparing the economic outcomes of interventions derived under different scenarios.</w:t>
      </w:r>
    </w:p>
    <w:bookmarkEnd w:id="3"/>
    <w:p w14:paraId="3E88E182" w14:textId="77777777" w:rsidR="00035381" w:rsidRDefault="00035381" w:rsidP="00475B67">
      <w:pPr>
        <w:ind w:firstLine="480"/>
        <w:rPr>
          <w:szCs w:val="21"/>
        </w:rPr>
      </w:pPr>
    </w:p>
    <w:p w14:paraId="3E88E183" w14:textId="5024A222" w:rsidR="00035381" w:rsidRPr="00963381" w:rsidRDefault="00565304" w:rsidP="00792164">
      <w:pPr>
        <w:pStyle w:val="Heading1"/>
        <w:numPr>
          <w:ilvl w:val="0"/>
          <w:numId w:val="6"/>
        </w:numPr>
        <w:ind w:firstLineChars="0"/>
      </w:pPr>
      <w:r w:rsidRPr="00963381">
        <w:t>Methodolog</w:t>
      </w:r>
      <w:r w:rsidR="00696D2E">
        <w:t>y and data collection</w:t>
      </w:r>
    </w:p>
    <w:p w14:paraId="0F01B082" w14:textId="3F68CE8E" w:rsidR="00E07990" w:rsidRDefault="00A3635F" w:rsidP="00475B67">
      <w:pPr>
        <w:ind w:firstLine="480"/>
      </w:pPr>
      <w:r>
        <w:t xml:space="preserve">Cost-effectiveness </w:t>
      </w:r>
      <w:r w:rsidR="00E84864">
        <w:t>analysis (</w:t>
      </w:r>
      <w:r>
        <w:t>CEA) is a d</w:t>
      </w:r>
      <w:r w:rsidRPr="00A3635F">
        <w:t>ecision-making assistance tool</w:t>
      </w:r>
      <w:r>
        <w:t xml:space="preserve"> that facilitate the comparison of given programs to determine whether the effectiveness of an intervention justifies its cost</w:t>
      </w:r>
      <w:r w:rsidR="00E84864">
        <w:t>, and</w:t>
      </w:r>
      <w:r>
        <w:t xml:space="preserve"> is widely implemented</w:t>
      </w:r>
      <w:bookmarkStart w:id="5" w:name="OLE_LINK1"/>
      <w:r>
        <w:t xml:space="preserve"> in the field of</w:t>
      </w:r>
      <w:r w:rsidR="00E84864">
        <w:t xml:space="preserve"> public health, such as disease control</w:t>
      </w:r>
      <w:r w:rsidR="00D72EB7">
        <w:fldChar w:fldCharType="begin" w:fldLock="1"/>
      </w:r>
      <w:r w:rsidR="003423A3">
        <w:instrText>ADDIN CSL_CITATION {"citationItems":[{"id":"ITEM-1","itemData":{"ISSN":"0742-4477","author":[{"dropping-particle":"","family":"Mangen","given":"Marie</w:instrText>
      </w:r>
      <w:r w:rsidR="003423A3">
        <w:rPr>
          <w:rFonts w:hint="eastAsia"/>
        </w:rPr>
        <w:instrText>‐</w:instrText>
      </w:r>
      <w:r w:rsidR="003423A3">
        <w:instrText>Josée J","non-dropping-particle":"","parse-names":false,"suffix":""},{"dropping-particle":"","family":"Wit","given":"G Ardine","non-dropping-particle":"De","parse-names":false,"suffix":""},{"dropping-particle":"","family":"Havelaar","given":"Arie H","non-dropping-particle":"","parse-names":false,"suffix":""}],"container-title":"Agribusiness: An International Journal","id":"ITEM-1","issue":"2","issued":{"date-parts":[["2007"]]},"page":"173-192","publisher":"Wiley Online Library","title":"Economic analysis of Campylobacter control in the Dutch broiler meat chain","type":"article-journal","volume":"23"},"uris":["http://www.mendeley.com/documents/?uuid=39d9f0fa-9321-4687-81fe-0d0340f195a7"]}],"mendeley":{"formattedCitation":"(Mangen, De Wit and Havelaar, 2007)","plainTextFormattedCitation":"(Mangen, De Wit and Havelaar, 2007)","previouslyFormattedCitation":"(Mangen, De Wit and Havelaar, 2007)"},"properties":{"noteIndex":0},"schema":"https://github.com/citation-style-language/schema/raw/master/csl-citation.json"}</w:instrText>
      </w:r>
      <w:r w:rsidR="00D72EB7">
        <w:fldChar w:fldCharType="separate"/>
      </w:r>
      <w:r w:rsidR="003423A3" w:rsidRPr="003423A3">
        <w:rPr>
          <w:noProof/>
        </w:rPr>
        <w:t>(Mangen, De Wit and Havelaar, 2007)</w:t>
      </w:r>
      <w:r w:rsidR="00D72EB7">
        <w:fldChar w:fldCharType="end"/>
      </w:r>
      <w:r w:rsidR="00E84864">
        <w:t>,</w:t>
      </w:r>
      <w:bookmarkEnd w:id="5"/>
      <w:r w:rsidR="00E84864">
        <w:t xml:space="preserve"> nutritional improvement</w:t>
      </w:r>
      <w:r w:rsidR="003423A3">
        <w:fldChar w:fldCharType="begin" w:fldLock="1"/>
      </w:r>
      <w:r w:rsidR="0094296D">
        <w:instrText>ADDIN CSL_CITATION {"citationItems":[{"id":"ITEM-1","itemData":{"DOI":"10.1016/j.nbt.2011.11.012","ISSN":"18716784","PMID":"22154941","abstract":"Biofortification, that is, improving the micronutrient content of staple foods through crop breeding, could be a pro-poor, pro-rural, agriculture-based intervention to reduce the health burden of micronutrient malnutrition. While the potential cost-effectiveness of crops biofortified with single micronutrients was shown in previous research, poor people often suffer from multiple micronutrient deficiencies, which should be accounted for in biofortification initiatives. This study is the first to estimate the potential health benefits and cost-effectiveness of multi-biofortification. Rice with enhanced provitamin A, zinc, iron and folate concentrations is used as a concrete example. The research is conducted for China, the largest rice producer in the world, where micronutrient malnutrition remains a major public health problem. Using the DALY (disability-adjusted life year) framework, the current annual health burden of the four micronutrient deficiencies in China is estimated at 10.6 million DALYs. Introducing multi-biofortified rice could lower this burden by up to 46%. Given the large positive health impact and low recurrent costs of multi-biofortification, this intervention could be very cost effective: under optimistic assumptions, the cost per DALY saved would be around US$ 2; it would stay below US$ 10 even under pessimistic assumptions. © 2011 Elsevier B.V.","author":[{"dropping-particle":"","family":"Steur","given":"Hans","non-dropping-particle":"De","parse-names":false,"suffix":""},{"dropping-particle":"","family":"Gellynck","given":"Xavier","non-dropping-particle":"","parse-names":false,"suffix":""},{"dropping-particle":"","family":"Blancquaert","given":"Dieter","non-dropping-particle":"","parse-names":false,"suffix":""},{"dropping-particle":"","family":"Lambert","given":"Willy","non-dropping-particle":"","parse-names":false,"suffix":""},{"dropping-particle":"","family":"Straeten","given":"Dominique","non-dropping-particle":"van der","parse-names":false,"suffix":""},{"dropping-particle":"","family":"Qaim","given":"Matin","non-dropping-particle":"","parse-names":false,"suffix":""}],"container-title":"New Biotechnology","id":"ITEM-1","issue":"3","issued":{"date-parts":[["2012"]]},"page":"432-442","publisher":"Elsevier B.V.","title":"Potential impact and cost-effectiveness of multi-biofortified rice in China","type":"article-journal","volume":"29"},"uris":["http://www.mendeley.com/documents/?uuid=fadd761e-24b8-4808-94c7-dd9459d40ea0"]},{"id":"ITEM-2","itemData":{"abstract":"50-word-summary: \" Hidden hunger \" affects billions world-wide. Next to supplemen-tation and fortification, \" biofortification \" – breeding higher micronutrient levels into staple crops – could be a cost-effective answer by agricultural means. Using disability-adjusted live years (DALYs) to measure related health benefits, this is shown in an ex-ante analysis of iron biofortified cereals in India.","author":[{"dropping-particle":"","family":"Stein","given":"Alexander J.","non-dropping-particle":"","parse-names":false,"suffix":""},{"dropping-particle":"","family":"Meenakshi","given":"J.V.","non-dropping-particle":"","parse-names":false,"suffix":""},{"dropping-particle":"","family":"Qaim","given":"Matin","non-dropping-particle":"","parse-names":false,"suffix":""},{"dropping-particle":"","family":"Nestel","given":"Penelope","non-dropping-particle":"","parse-names":false,"suffix":""},{"dropping-particle":"","family":"Sachdev","given":"H.P.S.","non-dropping-particle":"","parse-names":false,"suffix":""},{"dropping-particle":"","family":"Bhutta","given":"Zulfiqar A.","non-dropping-particle":"","parse-names":false,"suffix":""}],"container-title":"American Agricultural Economics Association Annual Meeting, July 24-27","id":"ITEM-2","issued":{"date-parts":[["2005"]]},"page":"34","title":"Health benefits of biofortification: an ex-ante analysis of iron-rich rice and wheat in India","type":"article-journal"},"uris":["http://www.mendeley.com/documents/?uuid=4cf71ea9-fca2-48f5-abe6-8aa172efc71e"]}],"mendeley":{"formattedCitation":"(Stein &lt;i&gt;et al.&lt;/i&gt;, 2005; De Steur, Gellynck, Blancquaert, Lambert, van der Straeten, &lt;i&gt;et al.&lt;/i&gt;, 2012)","manualFormatting":"(Stein et al., 2005; De Steur et al., 2012)","plainTextFormattedCitation":"(Stein et al., 2005; De Steur, Gellynck, Blancquaert, Lambert, van der Straeten, et al., 2012)","previouslyFormattedCitation":"(Stein &lt;i&gt;et al.&lt;/i&gt;, 2005; De Steur, Gellynck, Blancquaert, Lambert, van der Straeten, &lt;i&gt;et al.&lt;/i&gt;, 2012)"},"properties":{"noteIndex":0},"schema":"https://github.com/citation-style-language/schema/raw/master/csl-citation.json"}</w:instrText>
      </w:r>
      <w:r w:rsidR="003423A3">
        <w:fldChar w:fldCharType="separate"/>
      </w:r>
      <w:r w:rsidR="00DA4E49" w:rsidRPr="00DA4E49">
        <w:rPr>
          <w:noProof/>
        </w:rPr>
        <w:t xml:space="preserve">(Stein </w:t>
      </w:r>
      <w:r w:rsidR="00DA4E49" w:rsidRPr="00DA4E49">
        <w:rPr>
          <w:i/>
          <w:noProof/>
        </w:rPr>
        <w:t>et al.</w:t>
      </w:r>
      <w:r w:rsidR="00DA4E49" w:rsidRPr="00DA4E49">
        <w:rPr>
          <w:noProof/>
        </w:rPr>
        <w:t xml:space="preserve">, 2005; De Steur </w:t>
      </w:r>
      <w:r w:rsidR="00DA4E49" w:rsidRPr="00DA4E49">
        <w:rPr>
          <w:i/>
          <w:noProof/>
        </w:rPr>
        <w:t>et al.</w:t>
      </w:r>
      <w:r w:rsidR="00DA4E49" w:rsidRPr="00DA4E49">
        <w:rPr>
          <w:noProof/>
        </w:rPr>
        <w:t>, 2012)</w:t>
      </w:r>
      <w:r w:rsidR="003423A3">
        <w:fldChar w:fldCharType="end"/>
      </w:r>
      <w:r w:rsidR="00E84864">
        <w:t xml:space="preserve">, and </w:t>
      </w:r>
      <w:r w:rsidR="00A81F53">
        <w:t>risk management</w:t>
      </w:r>
      <w:r w:rsidR="003423A3">
        <w:fldChar w:fldCharType="begin" w:fldLock="1"/>
      </w:r>
      <w:r w:rsidR="00E35EF3">
        <w:instrText>ADDIN CSL_CITATION {"citationItems":[{"id":"ITEM-1","itemData":{"ISSN":"0742-4477","author":[{"dropping-particle":"","family":"Malcolm","given":"Scott A","non-dropping-particle":"","parse-names":false,"suffix":""},{"dropping-particle":"","family":"Narrod","given":"Clare A","non-dropping-particle":"","parse-names":false,"suffix":""},{"dropping-particle":"","family":"Roberts","given":"Tanya","non-dropping-particle":"","parse-names":false,"suffix":""},{"dropping-particle":"","family":"Ollinger","given":"Michael","non-dropping-particle":"","parse-names":false,"suffix":""}],"container-title":"Agribusiness: An International Journal","id":"ITEM-1","issue":"1","issued":{"date-parts":[["2004"]]},"page":"109-123","publisher":"Wiley Online Library","title":"Evaluating the economic effectiveness of pathogen reduction technologies in cattle slaughter plants","type":"article-journal","volume":"20"},"uris":["http://www.mendeley.com/documents/?uuid=67edc93b-e0d6-490f-a999-250711cb7a80"]},{"id":"ITEM-2","itemData":{"ISBN":"0742-4477","author":[{"dropping-particle":"","family":"Caswell","given":"Julie A","non-dropping-particle":"","parse-names":false,"suffix":""},{"dropping-particle":"","family":"Jensen","given":"Helen H","non-dropping-particle":"","parse-names":false,"suffix":""}],"container-title":"Agribusiness: An International Journal","id":"ITEM-2","issue":"2","issued":{"date-parts":[["2007"]]},"page":"153-156","publisher":"Wiley Online Library","title":"Introduction: Economic measures of food safety interventions","type":"article","volume":"23"},"uris":["http://www.mendeley.com/documents/?uuid=0b7b7999-0542-4c50-8f16-7be8ccf75b90"]}],"mendeley":{"formattedCitation":"(Malcolm &lt;i&gt;et al.&lt;/i&gt;, 2004; Caswell and Jensen, 2007)","plainTextFormattedCitation":"(Malcolm et al., 2004; Caswell and Jensen, 2007)","previouslyFormattedCitation":"(Malcolm &lt;i&gt;et al.&lt;/i&gt;, 2004; Caswell and Jensen, 2007)"},"properties":{"noteIndex":0},"schema":"https://github.com/citation-style-language/schema/raw/master/csl-citation.json"}</w:instrText>
      </w:r>
      <w:r w:rsidR="003423A3">
        <w:fldChar w:fldCharType="separate"/>
      </w:r>
      <w:r w:rsidR="00476949" w:rsidRPr="00476949">
        <w:rPr>
          <w:noProof/>
        </w:rPr>
        <w:t xml:space="preserve">(Malcolm </w:t>
      </w:r>
      <w:r w:rsidR="00476949" w:rsidRPr="00476949">
        <w:rPr>
          <w:i/>
          <w:noProof/>
        </w:rPr>
        <w:t>et al.</w:t>
      </w:r>
      <w:r w:rsidR="00476949" w:rsidRPr="00476949">
        <w:rPr>
          <w:noProof/>
        </w:rPr>
        <w:t>, 2004; Caswell and Jensen, 2007)</w:t>
      </w:r>
      <w:r w:rsidR="003423A3">
        <w:fldChar w:fldCharType="end"/>
      </w:r>
      <w:r w:rsidR="00A81F53">
        <w:t xml:space="preserve">. </w:t>
      </w:r>
      <w:r w:rsidR="00E07990" w:rsidRPr="00E07990">
        <w:t xml:space="preserve">To compare the cost-effectiveness of alternative interventions to alleviate zinc deficiency in China and eliminate the differences between studies, our study </w:t>
      </w:r>
      <w:r w:rsidR="00F0661A">
        <w:t>provided</w:t>
      </w:r>
      <w:r w:rsidR="00E07990" w:rsidRPr="00E07990">
        <w:t xml:space="preserve"> an ex-ante analysis with real-world data from cohort studies and project reports. Additionally, we considered the potential risks of the interventions in our model and set up several scenarios based on the variation of reality to better </w:t>
      </w:r>
      <w:r w:rsidR="004C5BFB">
        <w:t>understand</w:t>
      </w:r>
      <w:r w:rsidR="004C5BFB" w:rsidRPr="00E07990">
        <w:t xml:space="preserve"> </w:t>
      </w:r>
      <w:r w:rsidR="00E07990" w:rsidRPr="00E07990">
        <w:t>the impacts.</w:t>
      </w:r>
    </w:p>
    <w:p w14:paraId="3E88E184" w14:textId="417A5C15" w:rsidR="00035381" w:rsidRDefault="00565304" w:rsidP="00475B67">
      <w:pPr>
        <w:ind w:firstLine="480"/>
      </w:pPr>
      <w:r>
        <w:t>We</w:t>
      </w:r>
      <w:r w:rsidR="00EC6440">
        <w:t xml:space="preserve"> </w:t>
      </w:r>
      <w:r>
        <w:t xml:space="preserve">constructed a decision-analytic Markov model to evaluate the cost-effectiveness of three zinc deficiency interventions (i.e., zinc supplementation, food fortification, and biofortification) in China under different scenarios by using Microsoft Excel 2017. In our model, we </w:t>
      </w:r>
      <w:r w:rsidR="00DD0D99">
        <w:t xml:space="preserve">accounted for </w:t>
      </w:r>
      <w:r w:rsidR="0083325E">
        <w:t xml:space="preserve">both </w:t>
      </w:r>
      <w:r>
        <w:t>the direct cost</w:t>
      </w:r>
      <w:r w:rsidR="006833CD">
        <w:t>s</w:t>
      </w:r>
      <w:r>
        <w:t xml:space="preserve"> </w:t>
      </w:r>
      <w:r w:rsidR="00F16B21">
        <w:t xml:space="preserve">and the indirect costs </w:t>
      </w:r>
      <w:r>
        <w:t xml:space="preserve">of implementing the project, including potential risks of excessive zinc intake and consumers’ latent preference/discount toward </w:t>
      </w:r>
      <w:r w:rsidR="00B10E44">
        <w:t>these interventions</w:t>
      </w:r>
      <w:r>
        <w:t xml:space="preserve">. </w:t>
      </w:r>
    </w:p>
    <w:p w14:paraId="6548ED8E" w14:textId="50E16487" w:rsidR="00883205" w:rsidRPr="000E689E" w:rsidRDefault="00883205" w:rsidP="00475B67">
      <w:pPr>
        <w:ind w:firstLine="480"/>
        <w:rPr>
          <w:b/>
          <w:bCs/>
        </w:rPr>
      </w:pPr>
      <w:r w:rsidRPr="006464E8">
        <w:t xml:space="preserve">Markov models are the most frequently used model in health economic evaluation (Kuntz &amp; Weinstein, 2001). </w:t>
      </w:r>
      <w:r w:rsidR="004C5BFB">
        <w:t>I</w:t>
      </w:r>
      <w:r w:rsidRPr="006464E8">
        <w:t xml:space="preserve">ts ability to consider the problems with continuous risks </w:t>
      </w:r>
      <w:r>
        <w:rPr>
          <w:rFonts w:hint="eastAsia"/>
        </w:rPr>
        <w:t>enables</w:t>
      </w:r>
      <w:r>
        <w:t xml:space="preserve"> </w:t>
      </w:r>
      <w:r w:rsidRPr="006464E8">
        <w:t xml:space="preserve">a more accurate representation of the evaluated projects. Compared </w:t>
      </w:r>
      <w:r>
        <w:rPr>
          <w:rFonts w:hint="eastAsia"/>
        </w:rPr>
        <w:t>to</w:t>
      </w:r>
      <w:r>
        <w:t xml:space="preserve"> </w:t>
      </w:r>
      <w:r w:rsidRPr="006464E8">
        <w:t xml:space="preserve">traditional economic evaluation models, </w:t>
      </w:r>
      <w:r>
        <w:rPr>
          <w:rFonts w:hint="eastAsia"/>
        </w:rPr>
        <w:t>the</w:t>
      </w:r>
      <w:r>
        <w:t xml:space="preserve"> </w:t>
      </w:r>
      <w:r w:rsidRPr="006464E8">
        <w:t xml:space="preserve">Markov model can easily </w:t>
      </w:r>
      <w:r>
        <w:rPr>
          <w:rFonts w:hint="eastAsia"/>
        </w:rPr>
        <w:t>capture</w:t>
      </w:r>
      <w:r>
        <w:t xml:space="preserve"> </w:t>
      </w:r>
      <w:r w:rsidRPr="006464E8">
        <w:t xml:space="preserve">recurrent events and </w:t>
      </w:r>
      <w:r>
        <w:t>provide</w:t>
      </w:r>
      <w:r w:rsidRPr="006464E8">
        <w:t xml:space="preserve"> decision-making</w:t>
      </w:r>
      <w:r w:rsidRPr="00B87C39">
        <w:t xml:space="preserve"> </w:t>
      </w:r>
      <w:r w:rsidRPr="00B86A63">
        <w:t>support</w:t>
      </w:r>
      <w:r w:rsidRPr="006464E8">
        <w:t xml:space="preserve"> under uncertainties</w:t>
      </w:r>
      <w:r w:rsidR="00DC5F77">
        <w:t xml:space="preserve"> </w:t>
      </w:r>
      <w:r w:rsidR="00DC5F77">
        <w:fldChar w:fldCharType="begin" w:fldLock="1"/>
      </w:r>
      <w:r w:rsidR="00DC5F77">
        <w:instrText>ADDIN CSL_CITATION {"citationItems":[{"id":"ITEM-1","itemData":{"ISSN":"1355-8196","author":[{"dropping-particle":"","family":"Barton","given":"Pelham","non-dropping-particle":"","parse-names":false,"suffix":""},{"dropping-particle":"","family":"Bryan","given":"Stirling","non-dropping-particle":"","parse-names":false,"suffix":""},{"dropping-particle":"","family":"Robinson","given":"Suzanne","non-dropping-particle":"","parse-names":false,"suffix":""}],"container-title":"Journal of health services research &amp; policy","id":"ITEM-1","issue":"2","issued":{"date-parts":[["2004"]]},"page":"110-118","publisher":"SAGE Publications Sage UK: London, England","title":"Modelling in the economic evaluation of health care: selecting the appropriate approach","type":"article-journal","volume":"9"},"uris":["http://www.mendeley.com/documents/?uuid=d1ef0eeb-ea83-4f94-b526-8b17dfde0153"]},{"id":"ITEM-2","itemData":{"author":[{"dropping-particle":"","family":"Kuntz","given":"Karen M","non-dropping-particle":"","parse-names":false,"suffix":""},{"dropping-particle":"","family":"Weinstein","given":"Milton C","non-dropping-particle":"","parse-names":false,"suffix":""}],"container-title":"Economic evaluation in health care: merging theory with practice","id":"ITEM-2","issued":{"date-parts":[["2001"]]},"page":"141-171","publisher":"Oxford University Press, Oxford","title":"Modelling in economic evaluation","type":"article-journal"},"uris":["http://www.mendeley.com/documents/?uuid=9982477f-620d-41c6-a111-1ba6ef711d30"]}],"mendeley":{"formattedCitation":"(Kuntz and Weinstein, 2001; Barton, Bryan and Robinson, 2004)","plainTextFormattedCitation":"(Kuntz and Weinstein, 2001; Barton, Bryan and Robinson, 2004)","previouslyFormattedCitation":"(Kuntz and Weinstein, 2001; Barton, Bryan and Robinson, 2004)"},"properties":{"noteIndex":0},"schema":"https://github.com/citation-style-language/schema/raw/master/csl-citation.json"}</w:instrText>
      </w:r>
      <w:r w:rsidR="00DC5F77">
        <w:fldChar w:fldCharType="separate"/>
      </w:r>
      <w:r w:rsidR="00DC5F77" w:rsidRPr="00DC5F77">
        <w:rPr>
          <w:noProof/>
        </w:rPr>
        <w:t>(Kuntz and Weinstein, 2001; Barton, Bryan and Robinson, 2004)</w:t>
      </w:r>
      <w:r w:rsidR="00DC5F77">
        <w:fldChar w:fldCharType="end"/>
      </w:r>
      <w:r w:rsidRPr="001F365F">
        <w:t>. Studies have shown that Markov model</w:t>
      </w:r>
      <w:r w:rsidR="004C5BFB">
        <w:t>s are</w:t>
      </w:r>
      <w:r w:rsidRPr="001F365F">
        <w:t xml:space="preserve"> </w:t>
      </w:r>
      <w:r w:rsidRPr="001F365F">
        <w:lastRenderedPageBreak/>
        <w:t>applicable and suitable for assessing the cost-effectiveness of public health interventions</w:t>
      </w:r>
      <w:r w:rsidR="004C5BFB">
        <w:t xml:space="preserve">, such as </w:t>
      </w:r>
      <w:r w:rsidR="006833CD">
        <w:t>micronutrient</w:t>
      </w:r>
      <w:r w:rsidR="006833CD" w:rsidRPr="001F365F">
        <w:t xml:space="preserve"> </w:t>
      </w:r>
      <w:r w:rsidR="00653EA5" w:rsidRPr="001F365F">
        <w:t>supplementation</w:t>
      </w:r>
      <w:r w:rsidR="003A659B">
        <w:t>,</w:t>
      </w:r>
      <w:r w:rsidR="00653EA5" w:rsidRPr="001F365F">
        <w:t xml:space="preserve"> </w:t>
      </w:r>
      <w:r w:rsidR="004C5BFB">
        <w:t xml:space="preserve">food fortification </w:t>
      </w:r>
      <w:r w:rsidR="00DA255A" w:rsidRPr="001F365F">
        <w:fldChar w:fldCharType="begin" w:fldLock="1"/>
      </w:r>
      <w:r w:rsidR="00F417F3">
        <w:instrText>ADDIN CSL_CITATION {"citationItems":[{"id":"ITEM-1","itemData":{"DOI":"10.1136/bmjopen-2017-017136","author":[{"dropping-particle":"","family":"Dainelli","given":"Livia","non-dropping-particle":"","parse-names":false,"suffix":""},{"dropping-particle":"","family":"Xu","given":"Tingting","non-dropping-particle":"","parse-names":false,"suffix":""},{"dropping-particle":"","family":"Li","given":"Min","non-dropping-particle":"","parse-names":false,"suffix":""},{"dropping-particle":"","family":"Zimmermann","given":"Diane","non-dropping-particle":"","parse-names":false,"suffix":""},{"dropping-particle":"","family":"Fang","given":"Hai","non-dropping-particle":"","parse-names":false,"suffix":""},{"dropping-particle":"","family":"Wu","given":"Yangfeng","non-dropping-particle":"","parse-names":false,"suffix":""},{"dropping-particle":"","family":"Detzel","given":"Patrick","non-dropping-particle":"","parse-names":false,"suffix":""}],"id":"ITEM-1","issued":{"date-parts":[["2017"]]},"page":"1-11","title":"Cost-effectiveness of milk powder fortified with potassium to decrease blood pressure and prevent cardiovascular events among the adult population in China : a Markov model","type":"article-journal"},"uris":["http://www.mendeley.com/documents/?uuid=08d5839a-1245-4afb-9c5a-a871545ac7d8"]},{"id":"ITEM-2","itemData":{"DOI":"10.3945/jn.112.166694","ISSN":"00223166","PMID":"23223683","abstract":"The Australian government recently introduced mandatory folic acid fortification of bread to reduce the incidence of neural tube defects (NTDs). The economic evaluation of this policy contained a number of limitations. This study aimed to address the limitations and to reconsider the findings. Cost-effectiveness analysis was used to assess the cost and benefits of mandatory versus voluntary folic acid fortification. Outcomes measures were quality-adjusted life-years (QALYs), lifeyears gained (LYG), avoided NTD cases, and additional severe neuropathy cases. Costs considered included industry costs and regulatory costs to the government. It was estimated that mandatory fortification would prevent 31 NTDs, whereas an additional 14 cases of severe neuropathy would be incurred. Overall, 539 LYG and 503 QALYs would be gained per year of mandatory compared with voluntary fortification. Mandatory fortification was cost-effective at A$10,723 per LYG and at A$11,485 per QALY. Probabilistic sensitivity analysis showed that at A$60,000 and A$151,000 per QALY, the probability that mandatory fortification was the most cost-effective strategy was 79% and 85%, respectively. Threshold analysis of loss of consumer choice indicated that with a compensation value above A$1.21 [assuming a willingness to pay (WTP) threshold of A$60,000 per QALY] or A$3.19 (assuming a WTP threshold of A$151,000 per statistical life-year) per capita per year mandatory fortification would not be cost-effective. Mandatory fortification was found to be cost-effective; however, inclusion of the loss of consumer choice can change this result. Even with mandatory fortification, mean folate intake will remain below the recommended NTD preventive level. © 2013 American Society for Nutrition.","author":[{"dropping-particle":"","family":"Rabovskaja","given":"Viktoria","non-dropping-particle":"","parse-names":false,"suffix":""},{"dropping-particle":"","family":"Parkinson","given":"Bonny","non-dropping-particle":"","parse-names":false,"suffix":""},{"dropping-particle":"","family":"Goodall","given":"Stephen","non-dropping-particle":"","parse-names":false,"suffix":""}],"container-title":"Journal of Nutrition","id":"ITEM-2","issue":"1","issued":{"date-parts":[["2013"]]},"page":"59-66","title":"The cost-effectiveness of mandatory folic acid fortification in Australia","type":"article-journal","volume":"143"},"uris":["http://www.mendeley.com/documents/?uuid=9be55f28-5520-4cc4-ac09-e2a4dfd32349"]}],"mendeley":{"formattedCitation":"(Rabovskaja, Parkinson and Goodall, 2013; Dainelli &lt;i&gt;et al.&lt;/i&gt;, 2017)","plainTextFormattedCitation":"(Rabovskaja, Parkinson and Goodall, 2013; Dainelli et al., 2017)","previouslyFormattedCitation":"(Rabovskaja, Parkinson and Goodall, 2013; Dainelli &lt;i&gt;et al.&lt;/i&gt;, 2017)"},"properties":{"noteIndex":0},"schema":"https://github.com/citation-style-language/schema/raw/master/csl-citation.json"}</w:instrText>
      </w:r>
      <w:r w:rsidR="00DA255A" w:rsidRPr="001F365F">
        <w:fldChar w:fldCharType="separate"/>
      </w:r>
      <w:r w:rsidR="00F417F3" w:rsidRPr="00F417F3">
        <w:rPr>
          <w:noProof/>
        </w:rPr>
        <w:t xml:space="preserve">(Rabovskaja, Parkinson and Goodall, 2013; Dainelli </w:t>
      </w:r>
      <w:r w:rsidR="00F417F3" w:rsidRPr="00F417F3">
        <w:rPr>
          <w:i/>
          <w:noProof/>
        </w:rPr>
        <w:t>et al.</w:t>
      </w:r>
      <w:r w:rsidR="00F417F3" w:rsidRPr="00F417F3">
        <w:rPr>
          <w:noProof/>
        </w:rPr>
        <w:t>, 2017)</w:t>
      </w:r>
      <w:r w:rsidR="00DA255A" w:rsidRPr="001F365F">
        <w:fldChar w:fldCharType="end"/>
      </w:r>
      <w:r w:rsidR="00653EA5" w:rsidRPr="001F365F">
        <w:t>.</w:t>
      </w:r>
      <w:r w:rsidR="000E689E" w:rsidRPr="001F365F">
        <w:t xml:space="preserve"> </w:t>
      </w:r>
      <w:r w:rsidRPr="001F365F">
        <w:t>The wid</w:t>
      </w:r>
      <w:r w:rsidRPr="006464E8">
        <w:t xml:space="preserve">e-ranging adoption of </w:t>
      </w:r>
      <w:r>
        <w:t xml:space="preserve">the </w:t>
      </w:r>
      <w:r w:rsidRPr="006464E8">
        <w:t xml:space="preserve">Markov model in studies </w:t>
      </w:r>
      <w:r w:rsidR="004C5BFB">
        <w:t>demonstrates</w:t>
      </w:r>
      <w:r w:rsidR="004C5BFB" w:rsidRPr="006464E8">
        <w:t xml:space="preserve"> </w:t>
      </w:r>
      <w:r w:rsidR="004C5BFB">
        <w:t>the</w:t>
      </w:r>
      <w:r w:rsidR="004C5BFB" w:rsidRPr="006464E8">
        <w:t xml:space="preserve"> </w:t>
      </w:r>
      <w:r w:rsidRPr="006464E8">
        <w:t>flexib</w:t>
      </w:r>
      <w:r w:rsidR="004C5BFB">
        <w:t xml:space="preserve">ility of its </w:t>
      </w:r>
      <w:r w:rsidRPr="006464E8">
        <w:t xml:space="preserve">framework, which </w:t>
      </w:r>
      <w:r w:rsidR="006833CD" w:rsidRPr="006464E8">
        <w:t>r</w:t>
      </w:r>
      <w:r w:rsidR="006833CD">
        <w:t>enders room</w:t>
      </w:r>
      <w:r w:rsidR="006833CD" w:rsidRPr="006464E8">
        <w:t xml:space="preserve"> </w:t>
      </w:r>
      <w:r w:rsidRPr="006464E8">
        <w:t xml:space="preserve">for researchers to construct </w:t>
      </w:r>
      <w:r w:rsidR="004C5BFB">
        <w:t>a</w:t>
      </w:r>
      <w:r w:rsidR="004C5BFB" w:rsidRPr="006464E8">
        <w:t xml:space="preserve"> </w:t>
      </w:r>
      <w:r w:rsidRPr="006464E8">
        <w:t xml:space="preserve">model based on real-life setting </w:t>
      </w:r>
      <w:r w:rsidR="004C5BFB">
        <w:t xml:space="preserve">in order </w:t>
      </w:r>
      <w:r w:rsidRPr="006464E8">
        <w:t xml:space="preserve">to facilitate decision-making in public health intervention. </w:t>
      </w:r>
    </w:p>
    <w:p w14:paraId="3C074E90" w14:textId="2521DD35" w:rsidR="00386EF9" w:rsidRDefault="00565304" w:rsidP="00475B67">
      <w:pPr>
        <w:ind w:firstLine="480"/>
      </w:pPr>
      <w:r>
        <w:t>A Markov model yields a social perspective analysis as the</w:t>
      </w:r>
      <w:r w:rsidR="00013922">
        <w:t xml:space="preserve"> individuals are diagnosed, treated, and released from </w:t>
      </w:r>
      <w:r w:rsidR="00DA255A">
        <w:t>medical</w:t>
      </w:r>
      <w:r w:rsidR="00013922">
        <w:t xml:space="preserve"> care. </w:t>
      </w:r>
      <w:r w:rsidR="00392D71" w:rsidRPr="00392D71">
        <w:t xml:space="preserve">Considering the costs involve both one-time and periodic payments (e.g., the initial cost of R&amp;D for biofortification and continuous cost in later years for maintenance) we assumed a 30-year time horizon in which the cost and benefits are calculated and simulated during the duration of the implementation of the intervention, taking into account the natural history of pneumonia infection and persistent IDA using a sequence of transitions among health states. The setting of a 30-year time horizon is primarily grounded on two key considerations. Firstly, as suggested by </w:t>
      </w:r>
      <w:r w:rsidR="00392D71">
        <w:fldChar w:fldCharType="begin" w:fldLock="1"/>
      </w:r>
      <w:r w:rsidR="004A4FF6">
        <w:instrText>ADDIN CSL_CITATION {"citationItems":[{"id":"ITEM-1","itemData":{"ISSN":"0268-1080","author":[{"dropping-particle":"","family":"Haacker","given":"Markus","non-dropping-particle":"","parse-names":false,"suffix":""},{"dropping-particle":"","family":"Hallett","given":"Timothy B","non-dropping-particle":"","parse-names":false,"suffix":""},{"dropping-particle":"","family":"Atun","given":"Rifat","non-dropping-particle":"","parse-names":false,"suffix":""}],"container-title":"Health Policy and Planning","id":"ITEM-1","issue":"9","issued":{"date-parts":[["2020"]]},"page":"1237-1243","publisher":"Oxford University Press","title":"On time horizons in health economic evaluations","type":"article-journal","volume":"35"},"uris":["http://www.mendeley.com/documents/?uuid=560cefa8-6c34-4048-9828-7b64bd827c04"]}],"mendeley":{"formattedCitation":"(Haacker, Hallett and Atun, 2020)","manualFormatting":"Haacker et al. (2020)","plainTextFormattedCitation":"(Haacker, Hallett and Atun, 2020)","previouslyFormattedCitation":"(Haacker, Hallett and Atun, 2020)"},"properties":{"noteIndex":0},"schema":"https://github.com/citation-style-language/schema/raw/master/csl-citation.json"}</w:instrText>
      </w:r>
      <w:r w:rsidR="00392D71">
        <w:fldChar w:fldCharType="separate"/>
      </w:r>
      <w:r w:rsidR="00392D71" w:rsidRPr="00392D71">
        <w:rPr>
          <w:noProof/>
        </w:rPr>
        <w:t>Haacker</w:t>
      </w:r>
      <w:r w:rsidR="00392D71">
        <w:rPr>
          <w:noProof/>
        </w:rPr>
        <w:t xml:space="preserve"> </w:t>
      </w:r>
      <w:r w:rsidR="00392D71" w:rsidRPr="00392D71">
        <w:rPr>
          <w:i/>
          <w:iCs/>
          <w:noProof/>
        </w:rPr>
        <w:t>et al.</w:t>
      </w:r>
      <w:r w:rsidR="00392D71" w:rsidRPr="00392D71">
        <w:rPr>
          <w:noProof/>
        </w:rPr>
        <w:t xml:space="preserve"> </w:t>
      </w:r>
      <w:r w:rsidR="00392D71">
        <w:rPr>
          <w:noProof/>
        </w:rPr>
        <w:t>(</w:t>
      </w:r>
      <w:r w:rsidR="00392D71" w:rsidRPr="00392D71">
        <w:rPr>
          <w:noProof/>
        </w:rPr>
        <w:t>2020)</w:t>
      </w:r>
      <w:r w:rsidR="00392D71">
        <w:fldChar w:fldCharType="end"/>
      </w:r>
      <w:r w:rsidR="00392D71" w:rsidRPr="00392D71">
        <w:t xml:space="preserve">, the selected time horizon should last until the steady state is achieved in order to deliver valuable results in an economic evaluation. Most of the cost-effective analysis about fortification and supplementation project selected duration ranged from 5 to 30 years </w:t>
      </w:r>
      <w:r w:rsidR="004A4FF6">
        <w:fldChar w:fldCharType="begin" w:fldLock="1"/>
      </w:r>
      <w:r w:rsidR="004A4FF6">
        <w:instrText>ADDIN CSL_CITATION {"citationItems":[{"id":"ITEM-1","itemData":{"ISSN":"1871-6784","author":[{"dropping-particle":"","family":"Steur","given":"Hans","non-dropping-particle":"De","parse-names":false,"suffix":""},{"dropping-particle":"","family":"Gellynck","given":"Xavier","non-dropping-particle":"","parse-names":false,"suffix":""},{"dropping-particle":"","family":"Blancquaert","given":"Dieter","non-dropping-particle":"","parse-names":false,"suffix":""},{"dropping-particle":"","family":"Lambert","given":"Willy","non-dropping-particle":"","parse-names":false,"suffix":""},{"dropping-particle":"","family":"Straeten","given":"Dominique","non-dropping-particle":"Van Der","parse-names":false,"suffix":""},{"dropping-particle":"","family":"Qaim","given":"Matin","non-dropping-particle":"","parse-names":false,"suffix":""}],"container-title":"New Biotechnology","id":"ITEM-1","issue":"3","issued":{"date-parts":[["2012"]]},"page":"432-442","publisher":"Elsevier","title":"Potential impact and cost-effectiveness of multi-biofortified rice in China","type":"article-journal","volume":"29"},"uris":["http://www.mendeley.com/documents/?uuid=d67ff87f-02ca-433b-8893-7aec53a2fe5a"]},{"id":"ITEM-2","itemData":{"author":[{"dropping-particle":"","family":"Li","given":"Luping","non-dropping-particle":"","parse-names":false,"suffix":""},{"dropping-particle":"","family":"Zhang","given":"Jinlei","non-dropping-particle":"","parse-names":false,"suffix":""}],"container-title":"Current Biotechnology( in Chinese)","id":"ITEM-2","issue":"6","issued":{"date-parts":[["2016"]]},"page":"414-421","title":"The Cost-benefit and Cost-effectiveness of HarvestPlus-China Program: an Ex-ante Analysis of Biofortified Iron-rich Wheat in China","type":"article-journal","volume":"6"},"uris":["http://www.mendeley.com/documents/?uuid=d13d270c-af4c-4620-83bf-b467e2e854fe"]},{"id":"ITEM-3","itemData":{"ISSN":"0022-3166","author":[{"dropping-particle":"","family":"Horton","given":"Sue","non-dropping-particle":"","parse-names":false,"suffix":""}],"container-title":"The Journal of nutrition","id":"ITEM-3","issue":"4","issued":{"date-parts":[["2006"]]},"page":"1068-1071","publisher":"Oxford University Press","title":"The economics of food fortification","type":"article-journal","volume":"136"},"uris":["http://www.mendeley.com/documents/?uuid=a96218dd-6811-4699-a8f3-c8135eb8e276"]}],"mendeley":{"formattedCitation":"(Horton, 2006; De Steur, Gellynck, Blancquaert, Lambert, Van Der Straeten, &lt;i&gt;et al.&lt;/i&gt;, 2012; Li and Zhang, 2016)","manualFormatting":"(Horton, 2006; De Steur et al., 2012; Li and Zhang, 2016)","plainTextFormattedCitation":"(Horton, 2006; De Steur, Gellynck, Blancquaert, Lambert, Van Der Straeten, et al., 2012; Li and Zhang, 2016)","previouslyFormattedCitation":"(Horton, 2006; De Steur, Gellynck, Blancquaert, Lambert, Van Der Straeten, &lt;i&gt;et al.&lt;/i&gt;, 2012; Li and Zhang, 2016)"},"properties":{"noteIndex":0},"schema":"https://github.com/citation-style-language/schema/raw/master/csl-citation.json"}</w:instrText>
      </w:r>
      <w:r w:rsidR="004A4FF6">
        <w:fldChar w:fldCharType="separate"/>
      </w:r>
      <w:r w:rsidR="004A4FF6" w:rsidRPr="004A4FF6">
        <w:rPr>
          <w:noProof/>
        </w:rPr>
        <w:t xml:space="preserve">(Horton, 2006; De Steur </w:t>
      </w:r>
      <w:r w:rsidR="004A4FF6" w:rsidRPr="004A4FF6">
        <w:rPr>
          <w:i/>
          <w:noProof/>
        </w:rPr>
        <w:t>et al.</w:t>
      </w:r>
      <w:r w:rsidR="004A4FF6" w:rsidRPr="004A4FF6">
        <w:rPr>
          <w:noProof/>
        </w:rPr>
        <w:t>, 2012; Li and Zhang, 2016)</w:t>
      </w:r>
      <w:r w:rsidR="004A4FF6">
        <w:fldChar w:fldCharType="end"/>
      </w:r>
      <w:r w:rsidR="00392D71" w:rsidRPr="00392D71">
        <w:t xml:space="preserve">. In that sense, a thirty-year time horizon can indeed more fully capture the cost and benefits changes. Following </w:t>
      </w:r>
      <w:r w:rsidR="004A4FF6">
        <w:fldChar w:fldCharType="begin" w:fldLock="1"/>
      </w:r>
      <w:r w:rsidR="00B51BD5">
        <w:instrText>ADDIN CSL_CITATION {"citationItems":[{"id":"ITEM-1","itemData":{"author":[{"dropping-particle":"","family":"Carter","given":"Rob","non-dropping-particle":"","parse-names":false,"suffix":""},{"dropping-particle":"","family":"Moodie","given":"Marj","non-dropping-particle":"","parse-names":false,"suffix":""},{"dropping-particle":"","family":"Markwick","given":"Alison","non-dropping-particle":"","parse-names":false,"suffix":""},{"dropping-particle":"","family":"Magnus","given":"Anne","non-dropping-particle":"","parse-names":false,"suffix":""},{"dropping-particle":"","family":"Vos","given":"Theo","non-dropping-particle":"","parse-names":false,"suffix":""},{"dropping-particle":"","family":"Swinburn","given":"Boyd","non-dropping-particle":"","parse-names":false,"suffix":""},{"dropping-particle":"","family":"Haby","given":"Michele M","non-dropping-particle":"","parse-names":false,"suffix":""}],"container-title":"BMC public health","id":"ITEM-1","issued":{"date-parts":[["2009"]]},"page":"1-11","publisher":"Springer","title":"Assessing cost-effectiveness in obesity (ACE-obesity): an overview of the ACE approach, economic methods and cost results","type":"article-journal","volume":"9"},"uris":["http://www.mendeley.com/documents/?uuid=597506ba-0d8a-4b14-946e-32d5092502c9"]}],"mendeley":{"formattedCitation":"(Carter &lt;i&gt;et al.&lt;/i&gt;, 2009)","manualFormatting":"Carter et al., (2009)","plainTextFormattedCitation":"(Carter et al., 2009)","previouslyFormattedCitation":"(Carter &lt;i&gt;et al.&lt;/i&gt;, 2009)"},"properties":{"noteIndex":0},"schema":"https://github.com/citation-style-language/schema/raw/master/csl-citation.json"}</w:instrText>
      </w:r>
      <w:r w:rsidR="004A4FF6">
        <w:fldChar w:fldCharType="separate"/>
      </w:r>
      <w:r w:rsidR="004A4FF6" w:rsidRPr="004A4FF6">
        <w:rPr>
          <w:noProof/>
        </w:rPr>
        <w:t xml:space="preserve">Carter </w:t>
      </w:r>
      <w:r w:rsidR="004A4FF6" w:rsidRPr="004A4FF6">
        <w:rPr>
          <w:i/>
          <w:noProof/>
        </w:rPr>
        <w:t>et al.</w:t>
      </w:r>
      <w:r w:rsidR="004A4FF6" w:rsidRPr="004A4FF6">
        <w:rPr>
          <w:noProof/>
        </w:rPr>
        <w:t xml:space="preserve">, </w:t>
      </w:r>
      <w:r w:rsidR="004A4FF6">
        <w:rPr>
          <w:noProof/>
        </w:rPr>
        <w:t>(</w:t>
      </w:r>
      <w:r w:rsidR="004A4FF6" w:rsidRPr="004A4FF6">
        <w:rPr>
          <w:noProof/>
        </w:rPr>
        <w:t>2009)</w:t>
      </w:r>
      <w:r w:rsidR="004A4FF6">
        <w:fldChar w:fldCharType="end"/>
      </w:r>
      <w:r w:rsidR="004A4FF6">
        <w:t>,</w:t>
      </w:r>
      <w:r w:rsidR="00392D71" w:rsidRPr="00392D71">
        <w:t xml:space="preserve"> we made the assumption that all interventions would operate in a 'steady-state' manner.</w:t>
      </w:r>
      <w:r>
        <w:t xml:space="preserve"> Figure 1 illustrates the decision tree for one year of zinc intervention</w:t>
      </w:r>
      <w:r w:rsidR="00013738">
        <w:t>s</w:t>
      </w:r>
      <w:r>
        <w:t>. The subbranches for intervention, which repre</w:t>
      </w:r>
      <w:r w:rsidRPr="00667C4E">
        <w:t xml:space="preserve">sent whether the individual is under the intervention’s coverage, are followed by the subbranches for </w:t>
      </w:r>
      <w:r w:rsidR="00013922">
        <w:t xml:space="preserve">three </w:t>
      </w:r>
      <w:r w:rsidR="00013922">
        <w:rPr>
          <w:rFonts w:hint="eastAsia"/>
        </w:rPr>
        <w:t>health</w:t>
      </w:r>
      <w:r w:rsidR="00013922">
        <w:t xml:space="preserve"> </w:t>
      </w:r>
      <w:r w:rsidR="00013922">
        <w:rPr>
          <w:rFonts w:hint="eastAsia"/>
        </w:rPr>
        <w:t>states</w:t>
      </w:r>
      <w:r w:rsidR="00013922">
        <w:t xml:space="preserve">, including </w:t>
      </w:r>
      <w:r w:rsidRPr="00667C4E">
        <w:t xml:space="preserve">zinc deficiency (Fig.1A), excessive zinc intake (Fig.1B), </w:t>
      </w:r>
      <w:r w:rsidR="00013922">
        <w:t>and</w:t>
      </w:r>
      <w:r w:rsidR="00013922" w:rsidRPr="00667C4E">
        <w:t xml:space="preserve"> </w:t>
      </w:r>
      <w:r w:rsidRPr="00667C4E">
        <w:t xml:space="preserve">no disease. </w:t>
      </w:r>
      <w:r w:rsidR="00DA255A">
        <w:t>F</w:t>
      </w:r>
      <w:r w:rsidR="00FA1474">
        <w:t xml:space="preserve">or the zinc intake situations, we assigned </w:t>
      </w:r>
      <w:r w:rsidR="009662A0">
        <w:t xml:space="preserve">27% of the target population </w:t>
      </w:r>
      <w:r w:rsidR="004C5BFB">
        <w:t xml:space="preserve">to the </w:t>
      </w:r>
      <w:r w:rsidR="009662A0">
        <w:t xml:space="preserve">‘zinc deficiency’ state, </w:t>
      </w:r>
      <w:r w:rsidR="004C5BFB">
        <w:t xml:space="preserve">while </w:t>
      </w:r>
      <w:r w:rsidR="009662A0">
        <w:t xml:space="preserve">1% start from </w:t>
      </w:r>
      <w:r w:rsidR="004C5BFB">
        <w:t xml:space="preserve">the </w:t>
      </w:r>
      <w:r w:rsidR="009662A0">
        <w:t>‘excessive intake’ state, which is based on the previous meta-analysis conduct</w:t>
      </w:r>
      <w:r w:rsidR="009662A0" w:rsidRPr="008A719A">
        <w:t>ed in China</w:t>
      </w:r>
      <w:r w:rsidR="004C5BFB">
        <w:t xml:space="preserve"> </w:t>
      </w:r>
      <w:r w:rsidR="008A719A">
        <w:fldChar w:fldCharType="begin" w:fldLock="1"/>
      </w:r>
      <w:r w:rsidR="00276B6A">
        <w:instrText>ADDIN CSL_CITATION {"citationItems":[{"id":"ITEM-1","itemData":{"author":[{"dropping-particle":"","family":"Yan","given":"Caijin","non-dropping-particle":"","parse-names":false,"suffix":""}],"id":"ITEM-1","issued":{"date-parts":[["2021"]]},"publisher":"Fujian Medical University","title":"Meta-Analysis of Zinc Deficiency Status and its Influence Factors among Children in Mainland China in the past 15 years","type":"thesis"},"uris":["http://www.mendeley.com/documents/?uuid=b918208f-130f-4410-8dca-8d26f8867660"]},{"id":"ITEM-2","itemData":{"ISSN":"2380-0658","author":[{"dropping-particle":"","family":"Cai-Jin","given":"Y","non-dropping-particle":"","parse-names":false,"suffix":""},{"dropping-particle":"","family":"Jing-Ying","given":"S","non-dropping-particle":"","parse-names":false,"suffix":""},{"dropping-particle":"","family":"Gang-Xi","given":"L","non-dropping-particle":"","parse-names":false,"suffix":""}],"container-title":"J Fam Med","id":"ITEM-2","issue":"5","issued":{"date-parts":[["2021"]]},"page":"1257","title":"Meta-analysis of zinc deficiency and its influence factors in children under 14-year-old in china","type":"article-journal","volume":"8"},"uris":["http://www.mendeley.com/documents/?uuid=0c21e5c9-c255-491d-9340-3ea57040a7b3"]}],"mendeley":{"formattedCitation":"(Cai-Jin, Jing-Ying and Gang-Xi, 2021; Yan, 2021)","manualFormatting":"(Cai-Jin, et al., 2021; Yan, 2021)","plainTextFormattedCitation":"(Cai-Jin, Jing-Ying and Gang-Xi, 2021; Yan, 2021)","previouslyFormattedCitation":"(Cai-Jin, Jing-Ying and Gang-Xi, 2021; Yan, 2021)"},"properties":{"noteIndex":0},"schema":"https://github.com/citation-style-language/schema/raw/master/csl-citation.json"}</w:instrText>
      </w:r>
      <w:r w:rsidR="008A719A">
        <w:fldChar w:fldCharType="separate"/>
      </w:r>
      <w:r w:rsidR="00B51BD5" w:rsidRPr="00B51BD5">
        <w:rPr>
          <w:noProof/>
        </w:rPr>
        <w:t xml:space="preserve">(Cai-Jin, </w:t>
      </w:r>
      <w:r w:rsidR="00B51BD5" w:rsidRPr="00B51BD5">
        <w:rPr>
          <w:i/>
          <w:iCs/>
          <w:noProof/>
        </w:rPr>
        <w:t>et al.,</w:t>
      </w:r>
      <w:r w:rsidR="00B51BD5" w:rsidRPr="00B51BD5">
        <w:rPr>
          <w:noProof/>
        </w:rPr>
        <w:t xml:space="preserve"> 2021; Yan, 2021)</w:t>
      </w:r>
      <w:r w:rsidR="008A719A">
        <w:fldChar w:fldCharType="end"/>
      </w:r>
      <w:r w:rsidR="009662A0" w:rsidRPr="008A719A">
        <w:t>.</w:t>
      </w:r>
      <w:r w:rsidR="00FA1474" w:rsidRPr="008A719A">
        <w:t xml:space="preserve"> </w:t>
      </w:r>
      <w:r w:rsidR="00DA255A">
        <w:t>In Fig. 1A, p</w:t>
      </w:r>
      <w:r w:rsidR="00A67D0F" w:rsidRPr="008A719A">
        <w:t>atie</w:t>
      </w:r>
      <w:r w:rsidR="00A67D0F" w:rsidRPr="00667C4E">
        <w:t xml:space="preserve">nts </w:t>
      </w:r>
      <w:r w:rsidR="00A67D0F">
        <w:t>with</w:t>
      </w:r>
      <w:r w:rsidR="00A67D0F" w:rsidRPr="00667C4E">
        <w:t xml:space="preserve"> pneumonia would </w:t>
      </w:r>
      <w:r w:rsidR="00A67D0F">
        <w:t xml:space="preserve">ether </w:t>
      </w:r>
      <w:r w:rsidR="00A67D0F" w:rsidRPr="00667C4E">
        <w:t xml:space="preserve">die, </w:t>
      </w:r>
      <w:r w:rsidR="00A67D0F">
        <w:t>recover</w:t>
      </w:r>
      <w:r w:rsidR="00A67D0F" w:rsidRPr="00667C4E">
        <w:t>, or get infected in th</w:t>
      </w:r>
      <w:r w:rsidR="00A67D0F">
        <w:t>e following round/year. Those who are cured would progress to</w:t>
      </w:r>
      <w:r w:rsidR="00F55927">
        <w:t xml:space="preserve"> zinc intake status, which is on the next branch of the decision tree</w:t>
      </w:r>
      <w:r w:rsidR="00A67D0F">
        <w:t>, but they would still be susceptible to reinfect</w:t>
      </w:r>
      <w:r w:rsidR="00A67D0F">
        <w:rPr>
          <w:rFonts w:hint="eastAsia"/>
        </w:rPr>
        <w:t>ion</w:t>
      </w:r>
      <w:r w:rsidR="00A67D0F">
        <w:t xml:space="preserve">. </w:t>
      </w:r>
      <w:r w:rsidR="009662A0">
        <w:t xml:space="preserve">The interventions (zinc supplementation, fortification or biofortification) would </w:t>
      </w:r>
      <w:r w:rsidR="00FF7294">
        <w:t>decrease</w:t>
      </w:r>
      <w:r w:rsidR="00386EF9">
        <w:t xml:space="preserve"> the probability</w:t>
      </w:r>
      <w:r w:rsidR="00F8096F">
        <w:t xml:space="preserve"> of getting pneumonia for the zinc-deficient populations.</w:t>
      </w:r>
    </w:p>
    <w:p w14:paraId="29561E13" w14:textId="140A877C" w:rsidR="00386EF9" w:rsidRDefault="00386EF9" w:rsidP="00475B67">
      <w:pPr>
        <w:ind w:firstLine="480"/>
      </w:pPr>
      <w:r>
        <w:t xml:space="preserve">Different from </w:t>
      </w:r>
      <w:r w:rsidR="004C5BFB">
        <w:t>past</w:t>
      </w:r>
      <w:r w:rsidR="00A67D0F">
        <w:t xml:space="preserve"> cost-effectiveness </w:t>
      </w:r>
      <w:r w:rsidR="009662A0">
        <w:t>research</w:t>
      </w:r>
      <w:r>
        <w:t>,</w:t>
      </w:r>
      <w:r w:rsidRPr="00386EF9">
        <w:t xml:space="preserve"> </w:t>
      </w:r>
      <w:r w:rsidR="009662A0">
        <w:t xml:space="preserve">we </w:t>
      </w:r>
      <w:r w:rsidR="004C5BFB">
        <w:t xml:space="preserve">also </w:t>
      </w:r>
      <w:r w:rsidR="00A67D0F">
        <w:t xml:space="preserve">considered the impact of excessive zinc intake. In </w:t>
      </w:r>
      <w:r>
        <w:t>Fig. 1B</w:t>
      </w:r>
      <w:r w:rsidR="00A67D0F">
        <w:t>, f</w:t>
      </w:r>
      <w:r w:rsidR="00F8096F" w:rsidRPr="00F8096F">
        <w:t>or individuals exposed to excessive zinc intake and IDA simultaneously, persistent IDA is assumed to happen in 100% of the cases, which can be either treated or irreversible.</w:t>
      </w:r>
    </w:p>
    <w:p w14:paraId="3E88E189" w14:textId="61F0A9B9" w:rsidR="00035381" w:rsidRDefault="002F2D78" w:rsidP="00475B67">
      <w:pPr>
        <w:ind w:firstLine="480"/>
      </w:pPr>
      <w:r w:rsidRPr="002F2D78">
        <w:rPr>
          <w:noProof/>
        </w:rPr>
        <w:t xml:space="preserve"> </w:t>
      </w:r>
    </w:p>
    <w:p w14:paraId="2DB89816" w14:textId="0A523004" w:rsidR="002F6D1E" w:rsidRDefault="00792164" w:rsidP="006B19E1">
      <w:pPr>
        <w:ind w:firstLine="480"/>
        <w:jc w:val="center"/>
      </w:pPr>
      <w:r>
        <w:rPr>
          <w:noProof/>
        </w:rPr>
        <w:lastRenderedPageBreak/>
        <w:drawing>
          <wp:inline distT="0" distB="0" distL="0" distR="0" wp14:anchorId="0E08B344" wp14:editId="1F72DC56">
            <wp:extent cx="4846459" cy="2438400"/>
            <wp:effectExtent l="0" t="0" r="0" b="0"/>
            <wp:docPr id="1050928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92869" name=""/>
                    <pic:cNvPicPr/>
                  </pic:nvPicPr>
                  <pic:blipFill>
                    <a:blip r:embed="rId10"/>
                    <a:stretch>
                      <a:fillRect/>
                    </a:stretch>
                  </pic:blipFill>
                  <pic:spPr>
                    <a:xfrm>
                      <a:off x="0" y="0"/>
                      <a:ext cx="4851692" cy="2441033"/>
                    </a:xfrm>
                    <a:prstGeom prst="rect">
                      <a:avLst/>
                    </a:prstGeom>
                  </pic:spPr>
                </pic:pic>
              </a:graphicData>
            </a:graphic>
          </wp:inline>
        </w:drawing>
      </w:r>
    </w:p>
    <w:p w14:paraId="3E88E18A" w14:textId="7BF3456B" w:rsidR="00035381" w:rsidRPr="00224B06" w:rsidRDefault="00565304" w:rsidP="00E97FAF">
      <w:pPr>
        <w:ind w:firstLineChars="0" w:firstLine="0"/>
        <w:rPr>
          <w:b/>
          <w:bCs/>
        </w:rPr>
      </w:pPr>
      <w:bookmarkStart w:id="6" w:name="_Hlk141463599"/>
      <w:r w:rsidRPr="00224B06">
        <w:rPr>
          <w:b/>
          <w:bCs/>
        </w:rPr>
        <w:t>Figure 1</w:t>
      </w:r>
      <w:r w:rsidR="00D46F52" w:rsidRPr="00224B06">
        <w:rPr>
          <w:b/>
          <w:bCs/>
        </w:rPr>
        <w:t>.</w:t>
      </w:r>
      <w:r w:rsidRPr="00224B06">
        <w:rPr>
          <w:b/>
          <w:bCs/>
        </w:rPr>
        <w:t xml:space="preserve"> </w:t>
      </w:r>
      <w:r w:rsidR="00EF070D" w:rsidRPr="00224B06">
        <w:rPr>
          <w:b/>
          <w:bCs/>
        </w:rPr>
        <w:t>Decision</w:t>
      </w:r>
      <w:r w:rsidR="004E0825" w:rsidRPr="00224B06">
        <w:rPr>
          <w:b/>
          <w:bCs/>
        </w:rPr>
        <w:t xml:space="preserve"> tree </w:t>
      </w:r>
      <w:r w:rsidR="002E60DD" w:rsidRPr="00224B06">
        <w:rPr>
          <w:rFonts w:hint="eastAsia"/>
          <w:b/>
          <w:bCs/>
        </w:rPr>
        <w:t>structure</w:t>
      </w:r>
      <w:r w:rsidR="007A111B">
        <w:rPr>
          <w:b/>
          <w:bCs/>
        </w:rPr>
        <w:t xml:space="preserve">. </w:t>
      </w:r>
      <w:r w:rsidR="00AE5284" w:rsidRPr="00AE5284">
        <w:rPr>
          <w:b/>
          <w:bCs/>
        </w:rPr>
        <w:t>The initial node in the decision tree presents two options: the implementation of zinc intervention(s) or maintaining the current status. Following this decision, patients in each arm are introduced into a Markovian state-transition model, wherein they progress through various health states on an annual basis.</w:t>
      </w:r>
    </w:p>
    <w:bookmarkEnd w:id="6"/>
    <w:p w14:paraId="3E88E18B" w14:textId="77777777" w:rsidR="00035381" w:rsidRDefault="00035381" w:rsidP="00475B67">
      <w:pPr>
        <w:ind w:firstLine="480"/>
      </w:pPr>
    </w:p>
    <w:p w14:paraId="6A12B0EE" w14:textId="7E4E9D93" w:rsidR="00696D2E" w:rsidRDefault="00565304" w:rsidP="00696D2E">
      <w:pPr>
        <w:ind w:firstLine="480"/>
        <w:rPr>
          <w:rFonts w:eastAsiaTheme="minorEastAsia"/>
        </w:rPr>
      </w:pPr>
      <w:bookmarkStart w:id="7" w:name="_Hlk112780594"/>
      <w:r>
        <w:t>The target population in our study were children in China</w:t>
      </w:r>
      <w:r w:rsidR="00FE781D">
        <w:t xml:space="preserve"> aged 5 </w:t>
      </w:r>
      <w:r w:rsidR="00FE781D">
        <w:rPr>
          <w:rFonts w:hint="eastAsia"/>
        </w:rPr>
        <w:t>t</w:t>
      </w:r>
      <w:r w:rsidR="00FE781D">
        <w:t>o 14</w:t>
      </w:r>
      <w:r>
        <w:t xml:space="preserve">. </w:t>
      </w:r>
      <w:r w:rsidR="00F55927">
        <w:t xml:space="preserve">Different health states would generate various costs, and result in different health impacts. </w:t>
      </w:r>
      <w:r w:rsidR="00EB52E5">
        <w:t>In order to</w:t>
      </w:r>
      <w:r w:rsidR="00FE781D">
        <w:t xml:space="preserve"> </w:t>
      </w:r>
      <w:r w:rsidR="00EB52E5">
        <w:t>compare the</w:t>
      </w:r>
      <w:r>
        <w:t xml:space="preserve"> incremental cost-effectiveness ratio (ICER) of different interventions </w:t>
      </w:r>
      <w:r w:rsidR="00EB52E5">
        <w:t>and</w:t>
      </w:r>
      <w:r>
        <w:t xml:space="preserve"> facilitate decision-making</w:t>
      </w:r>
      <w:r w:rsidR="00EB52E5">
        <w:t xml:space="preserve">, </w:t>
      </w:r>
      <w:r w:rsidR="008F5008">
        <w:t xml:space="preserve">the </w:t>
      </w:r>
      <w:r w:rsidR="00DA255A">
        <w:t>‘</w:t>
      </w:r>
      <w:r w:rsidR="00EB52E5">
        <w:t>no intervention</w:t>
      </w:r>
      <w:r w:rsidR="00DA255A">
        <w:t>’</w:t>
      </w:r>
      <w:r w:rsidR="00EB52E5">
        <w:t xml:space="preserve"> scenario </w:t>
      </w:r>
      <w:r w:rsidR="00DA255A">
        <w:t>was</w:t>
      </w:r>
      <w:r w:rsidR="00EB52E5">
        <w:t xml:space="preserve"> </w:t>
      </w:r>
      <w:r w:rsidR="00DA255A">
        <w:t>set</w:t>
      </w:r>
      <w:r w:rsidR="00EB52E5">
        <w:t xml:space="preserve"> as </w:t>
      </w:r>
      <w:r w:rsidR="00DA255A">
        <w:t xml:space="preserve">the </w:t>
      </w:r>
      <w:r w:rsidR="00EB52E5">
        <w:t>baseline</w:t>
      </w:r>
      <w:r>
        <w:t>.</w:t>
      </w:r>
      <w:bookmarkEnd w:id="7"/>
      <w:r>
        <w:t xml:space="preserve"> </w:t>
      </w:r>
    </w:p>
    <w:p w14:paraId="222253D4" w14:textId="735CD4A2" w:rsidR="00C47D93" w:rsidRDefault="00565304" w:rsidP="00696D2E">
      <w:pPr>
        <w:ind w:firstLine="480"/>
      </w:pPr>
      <w:r>
        <w:t>Our analys</w:t>
      </w:r>
      <w:r w:rsidR="000F7EBA">
        <w:t>i</w:t>
      </w:r>
      <w:r>
        <w:t xml:space="preserve">s </w:t>
      </w:r>
      <w:r w:rsidR="00F02958">
        <w:t>was</w:t>
      </w:r>
      <w:r>
        <w:t xml:space="preserve"> based on second-hand data, including national census statistics, peer-reviewed studies, published reports, and expert opinion. As summarized in Table </w:t>
      </w:r>
      <w:r w:rsidR="00DA255A">
        <w:t>1</w:t>
      </w:r>
      <w:r>
        <w:t>, the data include</w:t>
      </w:r>
      <w:r w:rsidR="00DA255A">
        <w:t>d</w:t>
      </w:r>
      <w:r>
        <w:t xml:space="preserve"> epidemiological </w:t>
      </w:r>
      <w:r w:rsidR="008C0422">
        <w:t xml:space="preserve">information </w:t>
      </w:r>
      <w:r w:rsidR="002B5776">
        <w:rPr>
          <w:rFonts w:hint="eastAsia"/>
        </w:rPr>
        <w:t>on</w:t>
      </w:r>
      <w:r w:rsidR="002B5776">
        <w:t xml:space="preserve"> </w:t>
      </w:r>
      <w:r>
        <w:t>the population, cost</w:t>
      </w:r>
      <w:r w:rsidR="00A37D75">
        <w:t>s</w:t>
      </w:r>
      <w:r>
        <w:t xml:space="preserve"> and efficacy of the interventions</w:t>
      </w:r>
      <w:r w:rsidR="002B5776">
        <w:t>,</w:t>
      </w:r>
      <w:r>
        <w:t xml:space="preserve"> and health outcomes derived from medical </w:t>
      </w:r>
      <w:r w:rsidR="002B5776">
        <w:t>research</w:t>
      </w:r>
      <w:r>
        <w:t xml:space="preserve">. The epidemiological data </w:t>
      </w:r>
      <w:r w:rsidR="00A37D75" w:rsidRPr="00A37D75">
        <w:t>were comprised of</w:t>
      </w:r>
      <w:r w:rsidR="00A37D75">
        <w:t xml:space="preserve"> population size</w:t>
      </w:r>
      <w:r>
        <w:t xml:space="preserve">, the </w:t>
      </w:r>
      <w:r w:rsidR="002B5776">
        <w:t xml:space="preserve">incidence </w:t>
      </w:r>
      <w:r>
        <w:t xml:space="preserve">of pneumonia </w:t>
      </w:r>
      <w:r w:rsidR="00A37D75">
        <w:t xml:space="preserve">in </w:t>
      </w:r>
      <w:r>
        <w:t xml:space="preserve">children and adolescents, the prevalence of iron deficiency anemia, and the death rate. </w:t>
      </w:r>
      <w:r w:rsidR="00A37D75">
        <w:t>the</w:t>
      </w:r>
      <w:r w:rsidR="00C20F56">
        <w:t xml:space="preserve"> relative </w:t>
      </w:r>
      <w:r w:rsidR="00476853">
        <w:t>risk (</w:t>
      </w:r>
      <w:r w:rsidR="00F0661A">
        <w:t>RR)</w:t>
      </w:r>
      <w:r>
        <w:t xml:space="preserve"> of pneumonia</w:t>
      </w:r>
      <w:r w:rsidR="00C20F56">
        <w:t xml:space="preserve"> in the group exposed to various interventions</w:t>
      </w:r>
      <w:r>
        <w:t>, the probability of excessive zinc intake</w:t>
      </w:r>
      <w:r w:rsidR="00A37D75">
        <w:t xml:space="preserve">, and the cost of the interventions </w:t>
      </w:r>
      <w:r w:rsidR="00A37D75" w:rsidRPr="00A37D75">
        <w:t xml:space="preserve">were also </w:t>
      </w:r>
      <w:r w:rsidR="00A37D75">
        <w:t>utilized</w:t>
      </w:r>
      <w:r w:rsidR="00A37D75" w:rsidRPr="00A37D75">
        <w:t xml:space="preserve"> in th</w:t>
      </w:r>
      <w:r w:rsidR="00A37D75">
        <w:t>e assessment</w:t>
      </w:r>
      <w:r>
        <w:t>. Different scenarios were set up based on previous consumer research of biofortified crops developed with and without GM techniques</w:t>
      </w:r>
      <w:r w:rsidR="00DC5F77">
        <w:t>.</w:t>
      </w:r>
      <w:r>
        <w:t xml:space="preserve"> </w:t>
      </w:r>
      <w:r w:rsidR="0029640B">
        <w:t>A</w:t>
      </w:r>
      <w:r w:rsidR="00F2642C">
        <w:t xml:space="preserve">djustments </w:t>
      </w:r>
      <w:r>
        <w:t>were</w:t>
      </w:r>
      <w:r w:rsidR="0029640B">
        <w:t xml:space="preserve"> also</w:t>
      </w:r>
      <w:r>
        <w:t xml:space="preserve"> </w:t>
      </w:r>
      <w:r w:rsidR="00F2642C">
        <w:t>made</w:t>
      </w:r>
      <w:r w:rsidR="0029640B">
        <w:t xml:space="preserve"> in scenarios</w:t>
      </w:r>
      <w:r w:rsidR="00F2642C">
        <w:t xml:space="preserve"> </w:t>
      </w:r>
      <w:r>
        <w:t>to adapt future costs and benefits to the</w:t>
      </w:r>
      <w:r w:rsidR="00F2642C">
        <w:t>ir</w:t>
      </w:r>
      <w:r>
        <w:t xml:space="preserve"> net present value. As for the outcomes, </w:t>
      </w:r>
      <w:r w:rsidR="0029640B" w:rsidRPr="0029640B">
        <w:t>quality-adjusted life year</w:t>
      </w:r>
      <w:r w:rsidR="0042588A">
        <w:t>s</w:t>
      </w:r>
      <w:r w:rsidR="0029640B" w:rsidRPr="0029640B">
        <w:t xml:space="preserve"> (QALY</w:t>
      </w:r>
      <w:r w:rsidR="0042588A">
        <w:t>s</w:t>
      </w:r>
      <w:r w:rsidR="0029640B" w:rsidRPr="0029640B">
        <w:t>)</w:t>
      </w:r>
      <w:r>
        <w:t xml:space="preserve"> gained across the population</w:t>
      </w:r>
      <w:r w:rsidR="0042588A">
        <w:t xml:space="preserve"> </w:t>
      </w:r>
      <w:r w:rsidR="00B06BC3">
        <w:t xml:space="preserve">and </w:t>
      </w:r>
      <w:r w:rsidR="008F5008">
        <w:t>ICERs</w:t>
      </w:r>
      <w:r w:rsidR="00B06BC3">
        <w:t xml:space="preserve"> </w:t>
      </w:r>
      <w:r>
        <w:t>were reported and compared to verify the cost-effectiveness of several interventions under different scenarios.</w:t>
      </w:r>
      <w:r w:rsidR="007D6ED6">
        <w:t xml:space="preserve"> We judged the cost-effectiveness </w:t>
      </w:r>
      <w:r w:rsidR="007D6ED6">
        <w:rPr>
          <w:rFonts w:cs="Times New Roman"/>
          <w:szCs w:val="24"/>
        </w:rPr>
        <w:t>a</w:t>
      </w:r>
      <w:r w:rsidR="007D6ED6" w:rsidRPr="00D958B4">
        <w:rPr>
          <w:rFonts w:cs="Times New Roman"/>
          <w:szCs w:val="24"/>
        </w:rPr>
        <w:t xml:space="preserve">ccording to WHO-CHOICE, </w:t>
      </w:r>
      <w:r w:rsidR="007D6ED6">
        <w:rPr>
          <w:rFonts w:cs="Times New Roman"/>
          <w:szCs w:val="24"/>
        </w:rPr>
        <w:t>in which an</w:t>
      </w:r>
      <w:r w:rsidR="007D6ED6" w:rsidRPr="00D958B4">
        <w:rPr>
          <w:rFonts w:cs="Times New Roman"/>
          <w:szCs w:val="24"/>
        </w:rPr>
        <w:t xml:space="preserve"> intervention </w:t>
      </w:r>
      <w:r w:rsidR="007D6ED6">
        <w:rPr>
          <w:rFonts w:cs="Times New Roman"/>
          <w:szCs w:val="24"/>
        </w:rPr>
        <w:t xml:space="preserve">is considered to </w:t>
      </w:r>
      <w:r w:rsidR="007D6ED6" w:rsidRPr="00D958B4">
        <w:rPr>
          <w:rFonts w:cs="Times New Roman"/>
          <w:szCs w:val="24"/>
        </w:rPr>
        <w:t xml:space="preserve">be highly cost-effective when the cost per QALY is less than the country’s annual gross domestic production (GDP) per capita </w:t>
      </w:r>
      <w:r w:rsidR="007D6ED6" w:rsidRPr="00D958B4">
        <w:rPr>
          <w:rFonts w:cs="Times New Roman"/>
          <w:szCs w:val="24"/>
        </w:rPr>
        <w:fldChar w:fldCharType="begin" w:fldLock="1"/>
      </w:r>
      <w:r w:rsidR="007D6ED6">
        <w:rPr>
          <w:rFonts w:cs="Times New Roman"/>
          <w:szCs w:val="24"/>
        </w:rPr>
        <w:instrText>ADDIN CSL_CITATION {"citationItems":[{"id":"ITEM-1","itemData":{"author":[{"dropping-particle":"","family":"Marseille","given":"Elliot","non-dropping-particle":"","parse-names":false,"suffix":""},{"dropping-particle":"","family":"Larson","given":"Bruce","non-dropping-particle":"","parse-names":false,"suffix":""},{"dropping-particle":"","family":"Kazi","given":"Dhruv S","non-dropping-particle":"","parse-names":false,"suffix":""},{"dropping-particle":"","family":"Kahn","given":"James G","non-dropping-particle":"","parse-names":false,"suffix":""},{"dropping-particle":"","family":"Rosen","given":"Sydney","non-dropping-particle":"","parse-names":false,"suffix":""}],"container-title":"Bulletin of the World Health Organization","id":"ITEM-1","issue":"2","issued":{"date-parts":[["2014"]]},"page":"118-124","title":"Thresholds for the cost–effectiveness of interventions: alternative approaches","type":"article-journal","volume":"93"},"uris":["http://www.mendeley.com/documents/?uuid=b3be47d5-df3b-4a23-bba1-4ae8a15603f8"]}],"mendeley":{"formattedCitation":"(Marseille &lt;i&gt;et al.&lt;/i&gt;, 2014)","plainTextFormattedCitation":"(Marseille et al., 2014)","previouslyFormattedCitation":"(Marseille &lt;i&gt;et al.&lt;/i&gt;, 2014)"},"properties":{"noteIndex":0},"schema":"https://github.com/citation-style-language/schema/raw/master/csl-citation.json"}</w:instrText>
      </w:r>
      <w:r w:rsidR="007D6ED6" w:rsidRPr="00D958B4">
        <w:rPr>
          <w:rFonts w:cs="Times New Roman"/>
          <w:szCs w:val="24"/>
        </w:rPr>
        <w:fldChar w:fldCharType="separate"/>
      </w:r>
      <w:r w:rsidR="007D6ED6" w:rsidRPr="00F417F3">
        <w:rPr>
          <w:rFonts w:cs="Times New Roman"/>
          <w:noProof/>
          <w:szCs w:val="24"/>
        </w:rPr>
        <w:t xml:space="preserve">(Marseille </w:t>
      </w:r>
      <w:r w:rsidR="007D6ED6" w:rsidRPr="00F417F3">
        <w:rPr>
          <w:rFonts w:cs="Times New Roman"/>
          <w:i/>
          <w:noProof/>
          <w:szCs w:val="24"/>
        </w:rPr>
        <w:t>et al.</w:t>
      </w:r>
      <w:r w:rsidR="007D6ED6" w:rsidRPr="00F417F3">
        <w:rPr>
          <w:rFonts w:cs="Times New Roman"/>
          <w:noProof/>
          <w:szCs w:val="24"/>
        </w:rPr>
        <w:t>, 2014)</w:t>
      </w:r>
      <w:r w:rsidR="007D6ED6" w:rsidRPr="00D958B4">
        <w:rPr>
          <w:rFonts w:cs="Times New Roman"/>
          <w:szCs w:val="24"/>
        </w:rPr>
        <w:fldChar w:fldCharType="end"/>
      </w:r>
      <w:r w:rsidR="007D6ED6" w:rsidRPr="00D958B4">
        <w:rPr>
          <w:rFonts w:cs="Times New Roman"/>
          <w:szCs w:val="24"/>
        </w:rPr>
        <w:t xml:space="preserve">. </w:t>
      </w:r>
      <w:r w:rsidR="007D6ED6" w:rsidRPr="00383665">
        <w:rPr>
          <w:rFonts w:cs="Times New Roman"/>
          <w:szCs w:val="24"/>
        </w:rPr>
        <w:t>The range of cost-effective interventions fall between 1 to 3 times GDP per capita. If the cost per QALY exceeds three times GDP per capita, then it is not considered cost-effective.</w:t>
      </w:r>
      <w:r w:rsidR="007D6ED6" w:rsidRPr="00383665">
        <w:t xml:space="preserve"> </w:t>
      </w:r>
      <w:r w:rsidR="00DD0906" w:rsidRPr="00DD0906">
        <w:t xml:space="preserve">It is notable that in some cases, the </w:t>
      </w:r>
      <w:r w:rsidR="00DD0906" w:rsidRPr="00DD0906">
        <w:lastRenderedPageBreak/>
        <w:t>savings from reduced medical costs may outweigh the intervention expenses, resulting in a negative net cost.</w:t>
      </w:r>
      <w:r w:rsidR="00DD0906">
        <w:t xml:space="preserve"> </w:t>
      </w:r>
      <w:r w:rsidR="007D6ED6" w:rsidRPr="00383665">
        <w:rPr>
          <w:rFonts w:cs="Times New Roman"/>
          <w:szCs w:val="24"/>
        </w:rPr>
        <w:t xml:space="preserve">Thereby, the CE plane, developed by </w:t>
      </w:r>
      <w:r w:rsidR="0094296D">
        <w:rPr>
          <w:rFonts w:cs="Times New Roman"/>
          <w:szCs w:val="24"/>
        </w:rPr>
        <w:fldChar w:fldCharType="begin" w:fldLock="1"/>
      </w:r>
      <w:r w:rsidR="0094296D">
        <w:rPr>
          <w:rFonts w:cs="Times New Roman"/>
          <w:szCs w:val="24"/>
        </w:rPr>
        <w:instrText>ADDIN CSL_CITATION {"citationItems":[{"id":"ITEM-1","itemData":{"ISSN":"0272-989X","author":[{"dropping-particle":"","family":"Black","given":"William C","non-dropping-particle":"","parse-names":false,"suffix":""}],"container-title":"Medical decision making","id":"ITEM-1","issue":"3","issued":{"date-parts":[["1990"]]},"page":"212-214","publisher":"Sage Publications Sage CA: Thousand Oaks, CA","title":"The CE plane: a graphic representation of cost-effectiveness","type":"article-journal","volume":"10"},"uris":["http://www.mendeley.com/documents/?uuid=fe3b5414-48d3-48ca-b120-3d08369de377"]}],"mendeley":{"formattedCitation":"(Black, 1990)","manualFormatting":"(Black,  (1990)","plainTextFormattedCitation":"(Black, 1990)"},"properties":{"noteIndex":0},"schema":"https://github.com/citation-style-language/schema/raw/master/csl-citation.json"}</w:instrText>
      </w:r>
      <w:r w:rsidR="0094296D">
        <w:rPr>
          <w:rFonts w:cs="Times New Roman"/>
          <w:szCs w:val="24"/>
        </w:rPr>
        <w:fldChar w:fldCharType="separate"/>
      </w:r>
      <w:r w:rsidR="0094296D" w:rsidRPr="0094296D">
        <w:rPr>
          <w:rFonts w:cs="Times New Roman"/>
          <w:noProof/>
          <w:szCs w:val="24"/>
        </w:rPr>
        <w:t>Black</w:t>
      </w:r>
      <w:r w:rsidR="0094296D">
        <w:rPr>
          <w:rFonts w:cs="Times New Roman"/>
          <w:noProof/>
          <w:szCs w:val="24"/>
        </w:rPr>
        <w:t xml:space="preserve"> (</w:t>
      </w:r>
      <w:r w:rsidR="0094296D" w:rsidRPr="0094296D">
        <w:rPr>
          <w:rFonts w:cs="Times New Roman"/>
          <w:noProof/>
          <w:szCs w:val="24"/>
        </w:rPr>
        <w:t>1990)</w:t>
      </w:r>
      <w:r w:rsidR="0094296D">
        <w:rPr>
          <w:rFonts w:cs="Times New Roman"/>
          <w:szCs w:val="24"/>
        </w:rPr>
        <w:fldChar w:fldCharType="end"/>
      </w:r>
      <w:r w:rsidR="007D6ED6" w:rsidRPr="00383665">
        <w:rPr>
          <w:rFonts w:cs="Times New Roman"/>
          <w:szCs w:val="24"/>
        </w:rPr>
        <w:t xml:space="preserve"> to facilitate the interpretation of cost-effectiveness criteria in medical decision making, is used to graphically interpret our findings.</w:t>
      </w:r>
    </w:p>
    <w:p w14:paraId="3F111896" w14:textId="77777777" w:rsidR="00C47D93" w:rsidRDefault="00C47D93" w:rsidP="00C47D93">
      <w:pPr>
        <w:ind w:firstLineChars="82" w:firstLine="197"/>
        <w:jc w:val="center"/>
      </w:pPr>
    </w:p>
    <w:p w14:paraId="738E38AF" w14:textId="72AE4AC2" w:rsidR="00792164" w:rsidRPr="00792164" w:rsidRDefault="00565304" w:rsidP="00792164">
      <w:pPr>
        <w:ind w:firstLineChars="82" w:firstLine="198"/>
        <w:jc w:val="center"/>
        <w:rPr>
          <w:rFonts w:eastAsiaTheme="minorEastAsia"/>
          <w:b/>
          <w:bCs/>
        </w:rPr>
      </w:pPr>
      <w:r w:rsidRPr="00FF5982">
        <w:rPr>
          <w:b/>
          <w:bCs/>
        </w:rPr>
        <w:t xml:space="preserve">Table </w:t>
      </w:r>
      <w:r w:rsidR="00DA255A" w:rsidRPr="00FF5982">
        <w:rPr>
          <w:b/>
          <w:bCs/>
        </w:rPr>
        <w:t>1</w:t>
      </w:r>
      <w:r w:rsidR="00D46F52" w:rsidRPr="00FF5982">
        <w:rPr>
          <w:b/>
          <w:bCs/>
        </w:rPr>
        <w:t>.</w:t>
      </w:r>
      <w:r w:rsidRPr="00FF5982">
        <w:rPr>
          <w:b/>
          <w:bCs/>
        </w:rPr>
        <w:t xml:space="preserve"> The summary of parameters in the Markov model</w:t>
      </w:r>
    </w:p>
    <w:tbl>
      <w:tblPr>
        <w:tblStyle w:val="TableGrid"/>
        <w:tblW w:w="9782"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3"/>
        <w:gridCol w:w="1843"/>
        <w:gridCol w:w="851"/>
        <w:gridCol w:w="1275"/>
        <w:gridCol w:w="1990"/>
      </w:tblGrid>
      <w:tr w:rsidR="00792164" w14:paraId="355030C8" w14:textId="77777777" w:rsidTr="009B7CB4">
        <w:trPr>
          <w:jc w:val="center"/>
        </w:trPr>
        <w:tc>
          <w:tcPr>
            <w:tcW w:w="2410" w:type="dxa"/>
            <w:vMerge w:val="restart"/>
            <w:tcBorders>
              <w:top w:val="single" w:sz="4" w:space="0" w:color="auto"/>
              <w:bottom w:val="single" w:sz="4" w:space="0" w:color="auto"/>
            </w:tcBorders>
            <w:vAlign w:val="center"/>
          </w:tcPr>
          <w:p w14:paraId="32219872" w14:textId="77777777" w:rsidR="00792164" w:rsidRDefault="00792164" w:rsidP="009B7CB4">
            <w:pPr>
              <w:ind w:firstLineChars="0" w:firstLine="0"/>
              <w:jc w:val="center"/>
              <w:rPr>
                <w:rFonts w:cs="Times New Roman"/>
                <w:b/>
                <w:bCs/>
                <w:sz w:val="18"/>
                <w:szCs w:val="18"/>
              </w:rPr>
            </w:pPr>
            <w:r>
              <w:rPr>
                <w:rFonts w:cs="Times New Roman"/>
                <w:b/>
                <w:bCs/>
                <w:sz w:val="18"/>
                <w:szCs w:val="18"/>
              </w:rPr>
              <w:t>Parameter</w:t>
            </w:r>
          </w:p>
        </w:tc>
        <w:tc>
          <w:tcPr>
            <w:tcW w:w="1413" w:type="dxa"/>
            <w:vMerge w:val="restart"/>
            <w:tcBorders>
              <w:top w:val="single" w:sz="4" w:space="0" w:color="auto"/>
              <w:bottom w:val="single" w:sz="4" w:space="0" w:color="auto"/>
            </w:tcBorders>
            <w:vAlign w:val="center"/>
          </w:tcPr>
          <w:p w14:paraId="4DE22574" w14:textId="77777777" w:rsidR="00792164" w:rsidRDefault="00792164" w:rsidP="009B7CB4">
            <w:pPr>
              <w:ind w:firstLineChars="0" w:firstLine="0"/>
              <w:jc w:val="center"/>
              <w:rPr>
                <w:rFonts w:cs="Times New Roman"/>
                <w:b/>
                <w:bCs/>
                <w:sz w:val="18"/>
                <w:szCs w:val="18"/>
              </w:rPr>
            </w:pPr>
            <w:r>
              <w:rPr>
                <w:rFonts w:cs="Times New Roman"/>
                <w:b/>
                <w:bCs/>
                <w:sz w:val="18"/>
                <w:szCs w:val="18"/>
              </w:rPr>
              <w:t>Value in the base scenario</w:t>
            </w:r>
          </w:p>
        </w:tc>
        <w:tc>
          <w:tcPr>
            <w:tcW w:w="1843" w:type="dxa"/>
            <w:vMerge w:val="restart"/>
            <w:tcBorders>
              <w:top w:val="single" w:sz="4" w:space="0" w:color="auto"/>
              <w:bottom w:val="single" w:sz="4" w:space="0" w:color="auto"/>
            </w:tcBorders>
            <w:vAlign w:val="center"/>
          </w:tcPr>
          <w:p w14:paraId="77C3BD63" w14:textId="77777777" w:rsidR="00792164" w:rsidRDefault="00792164" w:rsidP="009B7CB4">
            <w:pPr>
              <w:ind w:firstLineChars="0" w:firstLine="0"/>
              <w:jc w:val="center"/>
              <w:rPr>
                <w:rFonts w:cs="Times New Roman"/>
                <w:b/>
                <w:bCs/>
                <w:sz w:val="18"/>
                <w:szCs w:val="18"/>
              </w:rPr>
            </w:pPr>
            <w:r>
              <w:rPr>
                <w:rFonts w:cs="Times New Roman"/>
                <w:b/>
                <w:bCs/>
                <w:sz w:val="18"/>
                <w:szCs w:val="18"/>
              </w:rPr>
              <w:t>The range used in the one-way sensitivity analysis</w:t>
            </w:r>
          </w:p>
        </w:tc>
        <w:tc>
          <w:tcPr>
            <w:tcW w:w="2126" w:type="dxa"/>
            <w:gridSpan w:val="2"/>
            <w:tcBorders>
              <w:top w:val="single" w:sz="4" w:space="0" w:color="auto"/>
              <w:bottom w:val="single" w:sz="4" w:space="0" w:color="auto"/>
            </w:tcBorders>
            <w:vAlign w:val="center"/>
          </w:tcPr>
          <w:p w14:paraId="2B456E89" w14:textId="77777777" w:rsidR="00792164" w:rsidRDefault="00792164" w:rsidP="009B7CB4">
            <w:pPr>
              <w:ind w:firstLineChars="0" w:firstLine="0"/>
              <w:jc w:val="center"/>
              <w:rPr>
                <w:rFonts w:cs="Times New Roman"/>
                <w:b/>
                <w:bCs/>
                <w:sz w:val="18"/>
                <w:szCs w:val="18"/>
              </w:rPr>
            </w:pPr>
            <w:r>
              <w:rPr>
                <w:rFonts w:cs="Times New Roman"/>
                <w:b/>
                <w:bCs/>
                <w:sz w:val="18"/>
                <w:szCs w:val="18"/>
              </w:rPr>
              <w:t>PSA</w:t>
            </w:r>
          </w:p>
        </w:tc>
        <w:tc>
          <w:tcPr>
            <w:tcW w:w="1990" w:type="dxa"/>
            <w:vMerge w:val="restart"/>
            <w:tcBorders>
              <w:top w:val="single" w:sz="4" w:space="0" w:color="auto"/>
              <w:bottom w:val="nil"/>
            </w:tcBorders>
            <w:vAlign w:val="center"/>
          </w:tcPr>
          <w:p w14:paraId="21AE4315" w14:textId="77777777" w:rsidR="00792164" w:rsidRDefault="00792164" w:rsidP="009B7CB4">
            <w:pPr>
              <w:ind w:firstLineChars="0" w:firstLine="0"/>
              <w:jc w:val="center"/>
              <w:rPr>
                <w:rFonts w:cs="Times New Roman"/>
                <w:b/>
                <w:bCs/>
                <w:sz w:val="18"/>
                <w:szCs w:val="18"/>
              </w:rPr>
            </w:pPr>
            <w:r>
              <w:rPr>
                <w:rFonts w:cs="Times New Roman"/>
                <w:b/>
                <w:bCs/>
                <w:sz w:val="18"/>
                <w:szCs w:val="18"/>
              </w:rPr>
              <w:t>Source</w:t>
            </w:r>
          </w:p>
        </w:tc>
      </w:tr>
      <w:tr w:rsidR="00792164" w14:paraId="7C6988ED" w14:textId="77777777" w:rsidTr="009B7CB4">
        <w:trPr>
          <w:jc w:val="center"/>
        </w:trPr>
        <w:tc>
          <w:tcPr>
            <w:tcW w:w="2410" w:type="dxa"/>
            <w:vMerge/>
            <w:tcBorders>
              <w:top w:val="nil"/>
              <w:bottom w:val="single" w:sz="4" w:space="0" w:color="auto"/>
            </w:tcBorders>
            <w:vAlign w:val="center"/>
          </w:tcPr>
          <w:p w14:paraId="606C2C51" w14:textId="77777777" w:rsidR="00792164" w:rsidRDefault="00792164" w:rsidP="009B7CB4">
            <w:pPr>
              <w:ind w:firstLineChars="0" w:firstLine="0"/>
              <w:jc w:val="center"/>
              <w:rPr>
                <w:rFonts w:cs="Times New Roman"/>
                <w:b/>
                <w:bCs/>
                <w:sz w:val="18"/>
                <w:szCs w:val="18"/>
              </w:rPr>
            </w:pPr>
          </w:p>
        </w:tc>
        <w:tc>
          <w:tcPr>
            <w:tcW w:w="1413" w:type="dxa"/>
            <w:vMerge/>
            <w:tcBorders>
              <w:top w:val="nil"/>
              <w:bottom w:val="single" w:sz="4" w:space="0" w:color="auto"/>
            </w:tcBorders>
            <w:vAlign w:val="center"/>
          </w:tcPr>
          <w:p w14:paraId="30ECFA17" w14:textId="77777777" w:rsidR="00792164" w:rsidRDefault="00792164" w:rsidP="009B7CB4">
            <w:pPr>
              <w:ind w:firstLineChars="0" w:firstLine="0"/>
              <w:jc w:val="center"/>
              <w:rPr>
                <w:rFonts w:cs="Times New Roman"/>
                <w:b/>
                <w:bCs/>
                <w:sz w:val="18"/>
                <w:szCs w:val="18"/>
              </w:rPr>
            </w:pPr>
          </w:p>
        </w:tc>
        <w:tc>
          <w:tcPr>
            <w:tcW w:w="1843" w:type="dxa"/>
            <w:vMerge/>
            <w:tcBorders>
              <w:top w:val="nil"/>
              <w:bottom w:val="single" w:sz="4" w:space="0" w:color="auto"/>
            </w:tcBorders>
            <w:vAlign w:val="center"/>
          </w:tcPr>
          <w:p w14:paraId="0E4315F5" w14:textId="77777777" w:rsidR="00792164" w:rsidRDefault="00792164" w:rsidP="009B7CB4">
            <w:pPr>
              <w:ind w:firstLineChars="0" w:firstLine="0"/>
              <w:jc w:val="center"/>
              <w:rPr>
                <w:rFonts w:cs="Times New Roman"/>
                <w:b/>
                <w:bCs/>
                <w:sz w:val="18"/>
                <w:szCs w:val="18"/>
              </w:rPr>
            </w:pPr>
          </w:p>
        </w:tc>
        <w:tc>
          <w:tcPr>
            <w:tcW w:w="851" w:type="dxa"/>
            <w:tcBorders>
              <w:top w:val="single" w:sz="4" w:space="0" w:color="auto"/>
              <w:bottom w:val="single" w:sz="4" w:space="0" w:color="auto"/>
            </w:tcBorders>
            <w:vAlign w:val="center"/>
          </w:tcPr>
          <w:p w14:paraId="3EAE0410" w14:textId="77777777" w:rsidR="00792164" w:rsidRPr="00DA255A" w:rsidRDefault="00792164" w:rsidP="009B7CB4">
            <w:pPr>
              <w:ind w:firstLineChars="0" w:firstLine="0"/>
              <w:jc w:val="center"/>
              <w:rPr>
                <w:rFonts w:cs="Times New Roman"/>
                <w:b/>
                <w:bCs/>
                <w:sz w:val="18"/>
                <w:szCs w:val="18"/>
                <w:highlight w:val="yellow"/>
              </w:rPr>
            </w:pPr>
            <w:r w:rsidRPr="00FF28C0">
              <w:rPr>
                <w:rFonts w:cs="Times New Roman"/>
                <w:b/>
                <w:bCs/>
                <w:sz w:val="18"/>
                <w:szCs w:val="18"/>
              </w:rPr>
              <w:t>SE</w:t>
            </w:r>
          </w:p>
        </w:tc>
        <w:tc>
          <w:tcPr>
            <w:tcW w:w="1275" w:type="dxa"/>
            <w:tcBorders>
              <w:top w:val="single" w:sz="4" w:space="0" w:color="auto"/>
              <w:bottom w:val="single" w:sz="4" w:space="0" w:color="auto"/>
            </w:tcBorders>
            <w:vAlign w:val="center"/>
          </w:tcPr>
          <w:p w14:paraId="34DEAC29" w14:textId="77777777" w:rsidR="00792164" w:rsidRDefault="00792164" w:rsidP="009B7CB4">
            <w:pPr>
              <w:ind w:firstLineChars="0" w:firstLine="0"/>
              <w:jc w:val="center"/>
              <w:rPr>
                <w:rFonts w:cs="Times New Roman"/>
                <w:b/>
                <w:bCs/>
                <w:sz w:val="18"/>
                <w:szCs w:val="18"/>
              </w:rPr>
            </w:pPr>
            <w:r>
              <w:rPr>
                <w:rFonts w:cs="Times New Roman"/>
                <w:b/>
                <w:bCs/>
                <w:sz w:val="18"/>
                <w:szCs w:val="18"/>
              </w:rPr>
              <w:t>Distribution</w:t>
            </w:r>
          </w:p>
        </w:tc>
        <w:tc>
          <w:tcPr>
            <w:tcW w:w="1990" w:type="dxa"/>
            <w:vMerge/>
            <w:tcBorders>
              <w:top w:val="nil"/>
              <w:bottom w:val="single" w:sz="4" w:space="0" w:color="auto"/>
            </w:tcBorders>
            <w:vAlign w:val="center"/>
          </w:tcPr>
          <w:p w14:paraId="5D7F6C45" w14:textId="77777777" w:rsidR="00792164" w:rsidRDefault="00792164" w:rsidP="009B7CB4">
            <w:pPr>
              <w:ind w:firstLineChars="0" w:firstLine="0"/>
              <w:jc w:val="center"/>
              <w:rPr>
                <w:rFonts w:cs="Times New Roman"/>
                <w:b/>
                <w:bCs/>
                <w:sz w:val="18"/>
                <w:szCs w:val="18"/>
              </w:rPr>
            </w:pPr>
          </w:p>
        </w:tc>
      </w:tr>
      <w:tr w:rsidR="00792164" w14:paraId="62B92D0C" w14:textId="77777777" w:rsidTr="009B7CB4">
        <w:trPr>
          <w:jc w:val="center"/>
        </w:trPr>
        <w:tc>
          <w:tcPr>
            <w:tcW w:w="2410" w:type="dxa"/>
            <w:tcBorders>
              <w:top w:val="single" w:sz="4" w:space="0" w:color="auto"/>
            </w:tcBorders>
            <w:vAlign w:val="center"/>
          </w:tcPr>
          <w:p w14:paraId="77B6E195" w14:textId="77777777" w:rsidR="00792164" w:rsidRDefault="00792164" w:rsidP="009B7CB4">
            <w:pPr>
              <w:ind w:firstLineChars="0" w:firstLine="0"/>
              <w:rPr>
                <w:rFonts w:cs="Times New Roman"/>
                <w:b/>
                <w:bCs/>
                <w:sz w:val="18"/>
                <w:szCs w:val="18"/>
              </w:rPr>
            </w:pPr>
            <w:r>
              <w:rPr>
                <w:rFonts w:cs="Times New Roman"/>
                <w:b/>
                <w:bCs/>
                <w:sz w:val="18"/>
                <w:szCs w:val="18"/>
              </w:rPr>
              <w:t>Epidemiology</w:t>
            </w:r>
          </w:p>
        </w:tc>
        <w:tc>
          <w:tcPr>
            <w:tcW w:w="1413" w:type="dxa"/>
            <w:tcBorders>
              <w:top w:val="single" w:sz="4" w:space="0" w:color="auto"/>
            </w:tcBorders>
            <w:vAlign w:val="center"/>
          </w:tcPr>
          <w:p w14:paraId="3DF90A23" w14:textId="77777777" w:rsidR="00792164" w:rsidRDefault="00792164" w:rsidP="009B7CB4">
            <w:pPr>
              <w:ind w:firstLineChars="0" w:firstLine="0"/>
              <w:jc w:val="center"/>
              <w:rPr>
                <w:rFonts w:cs="Times New Roman"/>
                <w:b/>
                <w:bCs/>
                <w:sz w:val="18"/>
                <w:szCs w:val="18"/>
              </w:rPr>
            </w:pPr>
          </w:p>
        </w:tc>
        <w:tc>
          <w:tcPr>
            <w:tcW w:w="1843" w:type="dxa"/>
            <w:tcBorders>
              <w:top w:val="single" w:sz="4" w:space="0" w:color="auto"/>
            </w:tcBorders>
            <w:vAlign w:val="center"/>
          </w:tcPr>
          <w:p w14:paraId="1606C80B" w14:textId="77777777" w:rsidR="00792164" w:rsidRDefault="00792164" w:rsidP="009B7CB4">
            <w:pPr>
              <w:ind w:firstLineChars="0" w:firstLine="0"/>
              <w:jc w:val="center"/>
              <w:rPr>
                <w:rFonts w:cs="Times New Roman"/>
                <w:b/>
                <w:bCs/>
                <w:sz w:val="18"/>
                <w:szCs w:val="18"/>
              </w:rPr>
            </w:pPr>
          </w:p>
        </w:tc>
        <w:tc>
          <w:tcPr>
            <w:tcW w:w="851" w:type="dxa"/>
            <w:tcBorders>
              <w:top w:val="single" w:sz="4" w:space="0" w:color="auto"/>
            </w:tcBorders>
            <w:vAlign w:val="center"/>
          </w:tcPr>
          <w:p w14:paraId="1D3513FB" w14:textId="77777777" w:rsidR="00792164" w:rsidRPr="00DA255A" w:rsidRDefault="00792164" w:rsidP="009B7CB4">
            <w:pPr>
              <w:ind w:firstLineChars="0" w:firstLine="0"/>
              <w:jc w:val="center"/>
              <w:rPr>
                <w:rFonts w:cs="Times New Roman"/>
                <w:b/>
                <w:bCs/>
                <w:sz w:val="18"/>
                <w:szCs w:val="18"/>
                <w:highlight w:val="yellow"/>
              </w:rPr>
            </w:pPr>
          </w:p>
        </w:tc>
        <w:tc>
          <w:tcPr>
            <w:tcW w:w="1275" w:type="dxa"/>
            <w:tcBorders>
              <w:top w:val="single" w:sz="4" w:space="0" w:color="auto"/>
            </w:tcBorders>
            <w:vAlign w:val="center"/>
          </w:tcPr>
          <w:p w14:paraId="184C50B0" w14:textId="77777777" w:rsidR="00792164" w:rsidRDefault="00792164" w:rsidP="009B7CB4">
            <w:pPr>
              <w:ind w:firstLineChars="0" w:firstLine="0"/>
              <w:jc w:val="center"/>
              <w:rPr>
                <w:rFonts w:cs="Times New Roman"/>
                <w:b/>
                <w:bCs/>
                <w:sz w:val="18"/>
                <w:szCs w:val="18"/>
              </w:rPr>
            </w:pPr>
          </w:p>
        </w:tc>
        <w:tc>
          <w:tcPr>
            <w:tcW w:w="1990" w:type="dxa"/>
            <w:tcBorders>
              <w:top w:val="single" w:sz="4" w:space="0" w:color="auto"/>
            </w:tcBorders>
            <w:vAlign w:val="center"/>
          </w:tcPr>
          <w:p w14:paraId="42C034DF" w14:textId="77777777" w:rsidR="00792164" w:rsidRDefault="00792164" w:rsidP="009B7CB4">
            <w:pPr>
              <w:ind w:firstLineChars="0" w:firstLine="0"/>
              <w:jc w:val="center"/>
              <w:rPr>
                <w:rFonts w:cs="Times New Roman"/>
                <w:b/>
                <w:bCs/>
                <w:sz w:val="18"/>
                <w:szCs w:val="18"/>
              </w:rPr>
            </w:pPr>
          </w:p>
        </w:tc>
      </w:tr>
      <w:tr w:rsidR="00792164" w14:paraId="5FCA785A" w14:textId="77777777" w:rsidTr="009B7CB4">
        <w:trPr>
          <w:jc w:val="center"/>
        </w:trPr>
        <w:tc>
          <w:tcPr>
            <w:tcW w:w="2410" w:type="dxa"/>
            <w:vAlign w:val="center"/>
          </w:tcPr>
          <w:p w14:paraId="7501FD9F" w14:textId="77777777" w:rsidR="00792164" w:rsidRDefault="00792164" w:rsidP="009B7CB4">
            <w:pPr>
              <w:ind w:firstLineChars="0" w:firstLine="0"/>
              <w:jc w:val="left"/>
              <w:rPr>
                <w:rFonts w:cs="Times New Roman"/>
                <w:sz w:val="18"/>
                <w:szCs w:val="18"/>
              </w:rPr>
            </w:pPr>
            <w:r>
              <w:rPr>
                <w:rFonts w:cs="Times New Roman"/>
                <w:sz w:val="18"/>
                <w:szCs w:val="18"/>
              </w:rPr>
              <w:t>Population scale of children aged 5-14, million</w:t>
            </w:r>
          </w:p>
        </w:tc>
        <w:tc>
          <w:tcPr>
            <w:tcW w:w="1413" w:type="dxa"/>
            <w:vAlign w:val="center"/>
          </w:tcPr>
          <w:p w14:paraId="686BBBEA" w14:textId="77777777" w:rsidR="00792164" w:rsidRDefault="00792164" w:rsidP="009B7CB4">
            <w:pPr>
              <w:ind w:firstLineChars="0" w:firstLine="0"/>
              <w:jc w:val="left"/>
              <w:rPr>
                <w:rFonts w:cs="Times New Roman"/>
                <w:sz w:val="18"/>
                <w:szCs w:val="18"/>
              </w:rPr>
            </w:pPr>
            <w:r>
              <w:rPr>
                <w:rFonts w:cs="Times New Roman"/>
                <w:sz w:val="18"/>
                <w:szCs w:val="18"/>
              </w:rPr>
              <w:t>168.92</w:t>
            </w:r>
          </w:p>
        </w:tc>
        <w:tc>
          <w:tcPr>
            <w:tcW w:w="1843" w:type="dxa"/>
            <w:vAlign w:val="center"/>
          </w:tcPr>
          <w:p w14:paraId="0814E34B" w14:textId="77777777" w:rsidR="00792164" w:rsidRPr="00065254" w:rsidRDefault="00792164" w:rsidP="009B7CB4">
            <w:pPr>
              <w:ind w:firstLineChars="0" w:firstLine="0"/>
              <w:jc w:val="left"/>
              <w:rPr>
                <w:rFonts w:cs="Times New Roman"/>
                <w:sz w:val="18"/>
                <w:szCs w:val="18"/>
              </w:rPr>
            </w:pPr>
            <w:r w:rsidRPr="00065254">
              <w:rPr>
                <w:rFonts w:cs="Times New Roman"/>
                <w:sz w:val="18"/>
                <w:szCs w:val="18"/>
              </w:rPr>
              <w:t>-</w:t>
            </w:r>
          </w:p>
        </w:tc>
        <w:tc>
          <w:tcPr>
            <w:tcW w:w="851" w:type="dxa"/>
            <w:vAlign w:val="center"/>
          </w:tcPr>
          <w:p w14:paraId="24605B36" w14:textId="77777777" w:rsidR="00792164" w:rsidRPr="00065254" w:rsidRDefault="00792164" w:rsidP="009B7CB4">
            <w:pPr>
              <w:ind w:firstLineChars="0" w:firstLine="0"/>
              <w:jc w:val="left"/>
              <w:rPr>
                <w:rFonts w:cs="Times New Roman"/>
                <w:sz w:val="18"/>
                <w:szCs w:val="18"/>
              </w:rPr>
            </w:pPr>
            <w:r w:rsidRPr="00065254">
              <w:rPr>
                <w:rFonts w:cs="Times New Roman"/>
                <w:sz w:val="18"/>
                <w:szCs w:val="18"/>
              </w:rPr>
              <w:t>-</w:t>
            </w:r>
          </w:p>
        </w:tc>
        <w:tc>
          <w:tcPr>
            <w:tcW w:w="1275" w:type="dxa"/>
            <w:vAlign w:val="center"/>
          </w:tcPr>
          <w:p w14:paraId="1F97EB7B"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1990" w:type="dxa"/>
            <w:vAlign w:val="center"/>
          </w:tcPr>
          <w:p w14:paraId="22317E64" w14:textId="77777777" w:rsidR="00792164" w:rsidRDefault="00792164" w:rsidP="009B7CB4">
            <w:pPr>
              <w:ind w:firstLineChars="0" w:firstLine="0"/>
              <w:jc w:val="left"/>
              <w:rPr>
                <w:rFonts w:cs="Times New Roman"/>
                <w:sz w:val="18"/>
                <w:szCs w:val="18"/>
              </w:rPr>
            </w:pPr>
            <w:r>
              <w:rPr>
                <w:rFonts w:cs="Times New Roman"/>
                <w:sz w:val="18"/>
                <w:szCs w:val="18"/>
              </w:rPr>
              <w:fldChar w:fldCharType="begin" w:fldLock="1"/>
            </w:r>
            <w:r>
              <w:rPr>
                <w:rFonts w:cs="Times New Roman"/>
                <w:sz w:val="18"/>
                <w:szCs w:val="18"/>
              </w:rPr>
              <w:instrText>ADDIN CSL_CITATION {"citationItems":[{"id":"ITEM-1","itemData":{"author":[{"dropping-particle":"","family":"The States Council","given":"","non-dropping-particle":"","parse-names":false,"suffix":""}],"id":"ITEM-1","issued":{"date-parts":[["2021"]]},"number-of-pages":"66","publisher-place":"Beijing","title":"Major figures on 2020 population cencus of China","type":"report"},"uris":["http://www.mendeley.com/documents/?uuid=c5485d6c-2532-413e-9dcd-1637135e5d26"]}],"mendeley":{"formattedCitation":"(The States Council 2021)","manualFormatting":"The States Council, 2021","plainTextFormattedCitation":"(The States Council 2021)","previouslyFormattedCitation":"&lt;sup&gt;1&lt;/sup&gt;"},"properties":{"noteIndex":0},"schema":"https://github.com/citation-style-language/schema/raw/master/csl-citation.json"}</w:instrText>
            </w:r>
            <w:r>
              <w:rPr>
                <w:rFonts w:cs="Times New Roman"/>
                <w:sz w:val="18"/>
                <w:szCs w:val="18"/>
              </w:rPr>
              <w:fldChar w:fldCharType="separate"/>
            </w:r>
            <w:r w:rsidRPr="002646ED">
              <w:rPr>
                <w:rFonts w:cs="Times New Roman"/>
                <w:noProof/>
                <w:sz w:val="18"/>
                <w:szCs w:val="18"/>
              </w:rPr>
              <w:t>The States Council, 2021</w:t>
            </w:r>
            <w:r>
              <w:rPr>
                <w:rFonts w:cs="Times New Roman"/>
                <w:sz w:val="18"/>
                <w:szCs w:val="18"/>
              </w:rPr>
              <w:fldChar w:fldCharType="end"/>
            </w:r>
          </w:p>
        </w:tc>
      </w:tr>
      <w:tr w:rsidR="00792164" w14:paraId="139C3810" w14:textId="77777777" w:rsidTr="009B7CB4">
        <w:trPr>
          <w:jc w:val="center"/>
        </w:trPr>
        <w:tc>
          <w:tcPr>
            <w:tcW w:w="2410" w:type="dxa"/>
            <w:vAlign w:val="center"/>
          </w:tcPr>
          <w:p w14:paraId="7577ED1C" w14:textId="77777777" w:rsidR="00792164" w:rsidRDefault="00792164" w:rsidP="009B7CB4">
            <w:pPr>
              <w:ind w:firstLineChars="0" w:firstLine="0"/>
              <w:jc w:val="left"/>
              <w:rPr>
                <w:rFonts w:cs="Times New Roman"/>
                <w:sz w:val="18"/>
                <w:szCs w:val="18"/>
              </w:rPr>
            </w:pPr>
            <w:r>
              <w:rPr>
                <w:rFonts w:cs="Times New Roman"/>
                <w:sz w:val="18"/>
                <w:szCs w:val="18"/>
              </w:rPr>
              <w:t>Prevalence of pneumonia, %</w:t>
            </w:r>
          </w:p>
        </w:tc>
        <w:tc>
          <w:tcPr>
            <w:tcW w:w="1413" w:type="dxa"/>
            <w:vAlign w:val="center"/>
          </w:tcPr>
          <w:p w14:paraId="14D031E7" w14:textId="77777777" w:rsidR="00792164" w:rsidRDefault="00792164" w:rsidP="009B7CB4">
            <w:pPr>
              <w:ind w:firstLineChars="0" w:firstLine="0"/>
              <w:jc w:val="left"/>
              <w:rPr>
                <w:rFonts w:cs="Times New Roman"/>
                <w:sz w:val="18"/>
                <w:szCs w:val="18"/>
              </w:rPr>
            </w:pPr>
            <w:r>
              <w:rPr>
                <w:rFonts w:cs="Times New Roman"/>
                <w:sz w:val="18"/>
                <w:szCs w:val="18"/>
              </w:rPr>
              <w:t>12.6</w:t>
            </w:r>
          </w:p>
        </w:tc>
        <w:tc>
          <w:tcPr>
            <w:tcW w:w="1843" w:type="dxa"/>
            <w:vAlign w:val="center"/>
          </w:tcPr>
          <w:p w14:paraId="12171F98" w14:textId="77777777" w:rsidR="00792164" w:rsidRPr="00065254" w:rsidRDefault="00792164" w:rsidP="009B7CB4">
            <w:pPr>
              <w:ind w:firstLineChars="0" w:firstLine="0"/>
              <w:jc w:val="left"/>
              <w:rPr>
                <w:rFonts w:cs="Times New Roman"/>
                <w:sz w:val="18"/>
                <w:szCs w:val="18"/>
              </w:rPr>
            </w:pPr>
            <w:r w:rsidRPr="00065254">
              <w:rPr>
                <w:rFonts w:cs="Times New Roman"/>
                <w:sz w:val="18"/>
                <w:szCs w:val="18"/>
              </w:rPr>
              <w:t>9.45, 15.75</w:t>
            </w:r>
          </w:p>
        </w:tc>
        <w:tc>
          <w:tcPr>
            <w:tcW w:w="851" w:type="dxa"/>
            <w:vAlign w:val="center"/>
          </w:tcPr>
          <w:p w14:paraId="1C23D84C" w14:textId="77777777" w:rsidR="00792164" w:rsidRPr="00065254" w:rsidRDefault="00792164" w:rsidP="009B7CB4">
            <w:pPr>
              <w:ind w:firstLineChars="0" w:firstLine="0"/>
              <w:jc w:val="left"/>
              <w:rPr>
                <w:rFonts w:cs="Times New Roman"/>
                <w:sz w:val="18"/>
                <w:szCs w:val="18"/>
              </w:rPr>
            </w:pPr>
            <w:r w:rsidRPr="00065254">
              <w:rPr>
                <w:rFonts w:cs="Times New Roman"/>
                <w:sz w:val="18"/>
                <w:szCs w:val="18"/>
              </w:rPr>
              <w:t>0.0</w:t>
            </w:r>
            <w:r>
              <w:rPr>
                <w:rFonts w:cs="Times New Roman"/>
                <w:sz w:val="18"/>
                <w:szCs w:val="18"/>
              </w:rPr>
              <w:t>2</w:t>
            </w:r>
          </w:p>
        </w:tc>
        <w:tc>
          <w:tcPr>
            <w:tcW w:w="1275" w:type="dxa"/>
            <w:vAlign w:val="center"/>
          </w:tcPr>
          <w:p w14:paraId="262D996D" w14:textId="77777777" w:rsidR="00792164" w:rsidRDefault="00792164" w:rsidP="009B7CB4">
            <w:pPr>
              <w:ind w:firstLineChars="0" w:firstLine="0"/>
              <w:jc w:val="left"/>
              <w:rPr>
                <w:rFonts w:cs="Times New Roman"/>
                <w:sz w:val="18"/>
                <w:szCs w:val="18"/>
              </w:rPr>
            </w:pPr>
            <w:r>
              <w:rPr>
                <w:rFonts w:cs="Times New Roman"/>
                <w:sz w:val="18"/>
                <w:szCs w:val="18"/>
              </w:rPr>
              <w:t>β</w:t>
            </w:r>
          </w:p>
        </w:tc>
        <w:tc>
          <w:tcPr>
            <w:tcW w:w="1990" w:type="dxa"/>
            <w:vAlign w:val="center"/>
          </w:tcPr>
          <w:p w14:paraId="3E63BED1" w14:textId="77777777" w:rsidR="00792164" w:rsidRDefault="00792164" w:rsidP="009B7CB4">
            <w:pPr>
              <w:ind w:firstLineChars="0" w:firstLine="0"/>
              <w:jc w:val="left"/>
              <w:rPr>
                <w:rFonts w:cs="Times New Roman"/>
                <w:sz w:val="18"/>
                <w:szCs w:val="18"/>
              </w:rPr>
            </w:pPr>
            <w:r>
              <w:rPr>
                <w:rFonts w:cs="Times New Roman"/>
                <w:sz w:val="18"/>
                <w:szCs w:val="18"/>
              </w:rPr>
              <w:fldChar w:fldCharType="begin" w:fldLock="1"/>
            </w:r>
            <w:r>
              <w:rPr>
                <w:rFonts w:cs="Times New Roman"/>
                <w:sz w:val="18"/>
                <w:szCs w:val="18"/>
              </w:rPr>
              <w:instrText>ADDIN CSL_CITATION {"citationItems":[{"id":"ITEM-1","itemData":{"ISSN":"0264-410X","author":[{"dropping-particle":"","family":"Sun","given":"Yixin","non-dropping-particle":"","parse-names":false,"suffix":""},{"dropping-particle":"","family":"Li","given":"Hui","non-dropping-particle":"","parse-names":false,"suffix":""},{"dropping-particle":"","family":"Pei","given":"Zhengcun","non-dropping-particle":"","parse-names":false,"suffix":""},{"dropping-particle":"","family":"Wang","given":"Shengfeng","non-dropping-particle":"","parse-names":false,"suffix":""},{"dropping-particle":"","family":"Feng","given":"Jingnan","non-dropping-particle":"","parse-names":false,"suffix":""},{"dropping-particle":"","family":"Xu","given":"Lu","non-dropping-particle":"","parse-names":false,"suffix":""},{"dropping-particle":"","family":"Gao","given":"Pei","non-dropping-particle":"","parse-names":false,"suffix":""},{"dropping-particle":"","family":"Cao","given":"Bin","non-dropping-particle":"","parse-names":false,"suffix":""},{"dropping-particle":"","family":"Zhan","given":"Siyan","non-dropping-particle":"","parse-names":false,"suffix":""}],"container-title":"Vaccine","id":"ITEM-1","issue":"52","issued":{"date-parts":[["2020"]]},"page":"8362-8370","publisher":"Elsevier","title":"Incidence of community-acquired pneumonia in urban China: a national population-based study","type":"article-journal","volume":"38"},"uris":["http://www.mendeley.com/documents/?uuid=1d5634b9-062b-4e42-9b5a-94f21b4d2369"]}],"mendeley":{"formattedCitation":"(Sun et al. 2020)","manualFormatting":"Sun et al., 2020","plainTextFormattedCitation":"(Sun et al. 2020)","previouslyFormattedCitation":"&lt;sup&gt;2&lt;/sup&gt;"},"properties":{"noteIndex":0},"schema":"https://github.com/citation-style-language/schema/raw/master/csl-citation.json"}</w:instrText>
            </w:r>
            <w:r>
              <w:rPr>
                <w:rFonts w:cs="Times New Roman"/>
                <w:sz w:val="18"/>
                <w:szCs w:val="18"/>
              </w:rPr>
              <w:fldChar w:fldCharType="separate"/>
            </w:r>
            <w:r>
              <w:rPr>
                <w:rFonts w:cs="Times New Roman"/>
                <w:noProof/>
                <w:sz w:val="18"/>
                <w:szCs w:val="18"/>
              </w:rPr>
              <w:t>Sun et al., 2020</w:t>
            </w:r>
            <w:r>
              <w:rPr>
                <w:rFonts w:cs="Times New Roman"/>
                <w:sz w:val="18"/>
                <w:szCs w:val="18"/>
              </w:rPr>
              <w:fldChar w:fldCharType="end"/>
            </w:r>
          </w:p>
        </w:tc>
      </w:tr>
      <w:tr w:rsidR="00792164" w14:paraId="16E15366" w14:textId="77777777" w:rsidTr="009B7CB4">
        <w:trPr>
          <w:jc w:val="center"/>
        </w:trPr>
        <w:tc>
          <w:tcPr>
            <w:tcW w:w="2410" w:type="dxa"/>
            <w:vAlign w:val="center"/>
          </w:tcPr>
          <w:p w14:paraId="6B1F7302" w14:textId="77777777" w:rsidR="00792164" w:rsidRDefault="00792164" w:rsidP="009B7CB4">
            <w:pPr>
              <w:ind w:firstLineChars="0" w:firstLine="0"/>
              <w:jc w:val="left"/>
              <w:rPr>
                <w:rFonts w:cs="Times New Roman"/>
                <w:sz w:val="18"/>
                <w:szCs w:val="18"/>
              </w:rPr>
            </w:pPr>
            <w:r>
              <w:rPr>
                <w:rFonts w:cs="Times New Roman"/>
                <w:sz w:val="18"/>
                <w:szCs w:val="18"/>
              </w:rPr>
              <w:t>Prevalence of anemia, %</w:t>
            </w:r>
          </w:p>
        </w:tc>
        <w:tc>
          <w:tcPr>
            <w:tcW w:w="1413" w:type="dxa"/>
            <w:vAlign w:val="center"/>
          </w:tcPr>
          <w:p w14:paraId="308C1295" w14:textId="77777777" w:rsidR="00792164" w:rsidRDefault="00792164" w:rsidP="009B7CB4">
            <w:pPr>
              <w:ind w:firstLineChars="0" w:firstLine="0"/>
              <w:jc w:val="left"/>
              <w:rPr>
                <w:rFonts w:cs="Times New Roman"/>
                <w:sz w:val="18"/>
                <w:szCs w:val="18"/>
              </w:rPr>
            </w:pPr>
            <w:r>
              <w:rPr>
                <w:rFonts w:cs="Times New Roman"/>
                <w:sz w:val="18"/>
                <w:szCs w:val="18"/>
              </w:rPr>
              <w:t>8.9</w:t>
            </w:r>
          </w:p>
        </w:tc>
        <w:tc>
          <w:tcPr>
            <w:tcW w:w="1843" w:type="dxa"/>
            <w:vAlign w:val="center"/>
          </w:tcPr>
          <w:p w14:paraId="08B1A58A" w14:textId="77777777" w:rsidR="00792164" w:rsidRDefault="00792164" w:rsidP="009B7CB4">
            <w:pPr>
              <w:ind w:firstLineChars="0" w:firstLine="0"/>
              <w:jc w:val="left"/>
              <w:rPr>
                <w:rFonts w:cs="Times New Roman"/>
                <w:sz w:val="18"/>
                <w:szCs w:val="18"/>
              </w:rPr>
            </w:pPr>
            <w:r>
              <w:rPr>
                <w:rFonts w:cs="Times New Roman"/>
                <w:sz w:val="18"/>
                <w:szCs w:val="18"/>
              </w:rPr>
              <w:t>6.68, 11.13</w:t>
            </w:r>
          </w:p>
        </w:tc>
        <w:tc>
          <w:tcPr>
            <w:tcW w:w="851" w:type="dxa"/>
            <w:vAlign w:val="center"/>
          </w:tcPr>
          <w:p w14:paraId="22285695" w14:textId="77777777" w:rsidR="00792164" w:rsidRPr="00065254" w:rsidRDefault="00792164" w:rsidP="009B7CB4">
            <w:pPr>
              <w:ind w:firstLineChars="0" w:firstLine="0"/>
              <w:jc w:val="left"/>
              <w:rPr>
                <w:rFonts w:cs="Times New Roman"/>
                <w:sz w:val="18"/>
                <w:szCs w:val="18"/>
              </w:rPr>
            </w:pPr>
            <w:r w:rsidRPr="00065254">
              <w:rPr>
                <w:rFonts w:cs="Times New Roman"/>
                <w:sz w:val="18"/>
                <w:szCs w:val="18"/>
              </w:rPr>
              <w:t>0.0</w:t>
            </w:r>
            <w:r>
              <w:rPr>
                <w:rFonts w:cs="Times New Roman"/>
                <w:sz w:val="18"/>
                <w:szCs w:val="18"/>
              </w:rPr>
              <w:t>1</w:t>
            </w:r>
          </w:p>
        </w:tc>
        <w:tc>
          <w:tcPr>
            <w:tcW w:w="1275" w:type="dxa"/>
            <w:vAlign w:val="center"/>
          </w:tcPr>
          <w:p w14:paraId="008E557E" w14:textId="77777777" w:rsidR="00792164" w:rsidRDefault="00792164" w:rsidP="009B7CB4">
            <w:pPr>
              <w:ind w:firstLineChars="0" w:firstLine="0"/>
              <w:jc w:val="left"/>
              <w:rPr>
                <w:rFonts w:cs="Times New Roman"/>
                <w:sz w:val="18"/>
                <w:szCs w:val="18"/>
              </w:rPr>
            </w:pPr>
            <w:r>
              <w:rPr>
                <w:rFonts w:cs="Times New Roman"/>
                <w:sz w:val="18"/>
                <w:szCs w:val="18"/>
              </w:rPr>
              <w:t>β</w:t>
            </w:r>
          </w:p>
        </w:tc>
        <w:tc>
          <w:tcPr>
            <w:tcW w:w="1990" w:type="dxa"/>
            <w:vAlign w:val="center"/>
          </w:tcPr>
          <w:p w14:paraId="6F728190" w14:textId="77777777" w:rsidR="00792164" w:rsidRDefault="00792164" w:rsidP="009B7CB4">
            <w:pPr>
              <w:ind w:firstLineChars="0" w:firstLine="0"/>
              <w:jc w:val="left"/>
              <w:rPr>
                <w:rFonts w:cs="Times New Roman"/>
                <w:sz w:val="18"/>
                <w:szCs w:val="18"/>
              </w:rPr>
            </w:pPr>
            <w:r>
              <w:rPr>
                <w:rFonts w:cs="Times New Roman"/>
                <w:sz w:val="18"/>
                <w:szCs w:val="18"/>
              </w:rPr>
              <w:fldChar w:fldCharType="begin" w:fldLock="1"/>
            </w:r>
            <w:r>
              <w:rPr>
                <w:rFonts w:cs="Times New Roman"/>
                <w:sz w:val="18"/>
                <w:szCs w:val="18"/>
              </w:rPr>
              <w:instrText>ADDIN CSL_CITATION {"citationItems":[{"id":"ITEM-1","itemData":{"author":[{"dropping-particle":"","family":"China National Children's Center","given":"","non-dropping-particle":"","parse-names":false,"suffix":""}],"id":"ITEM-1","issued":{"date-parts":[["2020"]]},"publisher-place":"Beijing","title":"Anuual Report on Chinese Children's Development","type":"report"},"uris":["http://www.mendeley.com/documents/?uuid=4325c860-f76b-4d8a-a59b-8ce6ae43d3c1"]}],"mendeley":{"formattedCitation":"(China National Children’s Center 2020)","manualFormatting":"China National Children’s Center, 2020","plainTextFormattedCitation":"(China National Children’s Center 2020)","previouslyFormattedCitation":"&lt;sup&gt;3&lt;/sup&gt;"},"properties":{"noteIndex":0},"schema":"https://github.com/citation-style-language/schema/raw/master/csl-citation.json"}</w:instrText>
            </w:r>
            <w:r>
              <w:rPr>
                <w:rFonts w:cs="Times New Roman"/>
                <w:sz w:val="18"/>
                <w:szCs w:val="18"/>
              </w:rPr>
              <w:fldChar w:fldCharType="separate"/>
            </w:r>
            <w:r w:rsidRPr="001A20B6">
              <w:rPr>
                <w:rFonts w:cs="Times New Roman"/>
                <w:noProof/>
                <w:sz w:val="18"/>
                <w:szCs w:val="18"/>
              </w:rPr>
              <w:t>China National Children’s Center, 2020</w:t>
            </w:r>
            <w:r>
              <w:rPr>
                <w:rFonts w:cs="Times New Roman"/>
                <w:sz w:val="18"/>
                <w:szCs w:val="18"/>
              </w:rPr>
              <w:fldChar w:fldCharType="end"/>
            </w:r>
          </w:p>
        </w:tc>
      </w:tr>
      <w:tr w:rsidR="00792164" w:rsidRPr="00D10762" w14:paraId="596BE5F5" w14:textId="77777777" w:rsidTr="009B7CB4">
        <w:trPr>
          <w:jc w:val="center"/>
        </w:trPr>
        <w:tc>
          <w:tcPr>
            <w:tcW w:w="2410" w:type="dxa"/>
            <w:shd w:val="clear" w:color="auto" w:fill="auto"/>
            <w:vAlign w:val="center"/>
          </w:tcPr>
          <w:p w14:paraId="5D49263A" w14:textId="77777777" w:rsidR="00792164" w:rsidRPr="00D10762" w:rsidRDefault="00792164" w:rsidP="009B7CB4">
            <w:pPr>
              <w:ind w:firstLineChars="0" w:firstLine="0"/>
              <w:jc w:val="left"/>
              <w:rPr>
                <w:rFonts w:cs="Times New Roman"/>
                <w:sz w:val="18"/>
                <w:szCs w:val="18"/>
              </w:rPr>
            </w:pPr>
            <w:r w:rsidRPr="00D10762">
              <w:rPr>
                <w:rFonts w:cs="Times New Roman" w:hint="eastAsia"/>
                <w:sz w:val="18"/>
                <w:szCs w:val="18"/>
              </w:rPr>
              <w:t>P</w:t>
            </w:r>
            <w:r w:rsidRPr="00D10762">
              <w:rPr>
                <w:rFonts w:cs="Times New Roman"/>
                <w:sz w:val="18"/>
                <w:szCs w:val="18"/>
              </w:rPr>
              <w:t>revalence of zinc deficiency, %</w:t>
            </w:r>
          </w:p>
        </w:tc>
        <w:tc>
          <w:tcPr>
            <w:tcW w:w="1413" w:type="dxa"/>
            <w:shd w:val="clear" w:color="auto" w:fill="auto"/>
            <w:vAlign w:val="center"/>
          </w:tcPr>
          <w:p w14:paraId="5A4C656C" w14:textId="77777777" w:rsidR="00792164" w:rsidRPr="00D10762" w:rsidRDefault="00792164" w:rsidP="009B7CB4">
            <w:pPr>
              <w:ind w:firstLineChars="0" w:firstLine="0"/>
              <w:jc w:val="left"/>
              <w:rPr>
                <w:rFonts w:cs="Times New Roman"/>
                <w:sz w:val="18"/>
                <w:szCs w:val="18"/>
              </w:rPr>
            </w:pPr>
            <w:r w:rsidRPr="00D10762">
              <w:rPr>
                <w:rFonts w:cs="Times New Roman" w:hint="eastAsia"/>
                <w:sz w:val="18"/>
                <w:szCs w:val="18"/>
              </w:rPr>
              <w:t>2</w:t>
            </w:r>
            <w:r w:rsidRPr="00D10762">
              <w:rPr>
                <w:rFonts w:cs="Times New Roman"/>
                <w:sz w:val="18"/>
                <w:szCs w:val="18"/>
              </w:rPr>
              <w:t>7</w:t>
            </w:r>
          </w:p>
        </w:tc>
        <w:tc>
          <w:tcPr>
            <w:tcW w:w="1843" w:type="dxa"/>
            <w:vAlign w:val="center"/>
          </w:tcPr>
          <w:p w14:paraId="3FDBBEB8" w14:textId="77777777" w:rsidR="00792164" w:rsidRPr="00D10762"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2</w:t>
            </w:r>
            <w:r>
              <w:rPr>
                <w:rFonts w:eastAsiaTheme="minorEastAsia" w:cs="Times New Roman"/>
                <w:sz w:val="18"/>
                <w:szCs w:val="18"/>
              </w:rPr>
              <w:t>0.25, 33.75</w:t>
            </w:r>
          </w:p>
        </w:tc>
        <w:tc>
          <w:tcPr>
            <w:tcW w:w="851" w:type="dxa"/>
            <w:vAlign w:val="center"/>
          </w:tcPr>
          <w:p w14:paraId="6C30748E" w14:textId="77777777" w:rsidR="00792164" w:rsidRPr="00D10762"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0</w:t>
            </w:r>
            <w:r>
              <w:rPr>
                <w:rFonts w:eastAsiaTheme="minorEastAsia" w:cs="Times New Roman"/>
                <w:sz w:val="18"/>
                <w:szCs w:val="18"/>
              </w:rPr>
              <w:t>.02</w:t>
            </w:r>
          </w:p>
        </w:tc>
        <w:tc>
          <w:tcPr>
            <w:tcW w:w="1275" w:type="dxa"/>
            <w:vAlign w:val="center"/>
          </w:tcPr>
          <w:p w14:paraId="19F45204" w14:textId="77777777" w:rsidR="00792164" w:rsidRPr="00D10762"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β</w:t>
            </w:r>
          </w:p>
        </w:tc>
        <w:tc>
          <w:tcPr>
            <w:tcW w:w="1990" w:type="dxa"/>
            <w:vAlign w:val="center"/>
          </w:tcPr>
          <w:p w14:paraId="4CFB229E" w14:textId="77777777" w:rsidR="00792164" w:rsidRDefault="00792164" w:rsidP="009B7CB4">
            <w:pPr>
              <w:ind w:firstLineChars="0" w:firstLine="0"/>
              <w:jc w:val="left"/>
              <w:rPr>
                <w:rFonts w:cs="Times New Roman"/>
                <w:sz w:val="18"/>
                <w:szCs w:val="18"/>
              </w:rPr>
            </w:pPr>
            <w:r>
              <w:rPr>
                <w:rFonts w:cs="Times New Roman"/>
                <w:sz w:val="18"/>
                <w:szCs w:val="18"/>
              </w:rPr>
              <w:fldChar w:fldCharType="begin" w:fldLock="1"/>
            </w:r>
            <w:r>
              <w:rPr>
                <w:rFonts w:cs="Times New Roman"/>
                <w:sz w:val="18"/>
                <w:szCs w:val="18"/>
              </w:rPr>
              <w:instrText>ADDIN CSL_CITATION {"citationItems":[{"id":"ITEM-1","itemData":{"ISSN":"2380-0658","author":[{"dropping-particle":"","family":"Cai-Jin","given":"Y","non-dropping-particle":"","parse-names":false,"suffix":""},{"dropping-particle":"","family":"Jing-Ying","given":"S","non-dropping-particle":"","parse-names":false,"suffix":""},{"dropping-particle":"","family":"Gang-Xi","given":"L","non-dropping-particle":"","parse-names":false,"suffix":""}],"container-title":"J Fam Med","id":"ITEM-1","issue":"5","issued":{"date-parts":[["2021"]]},"page":"1257","title":"Meta-analysis of zinc deficiency and its influence factors in children under 14-year-old in china","type":"article-journal","volume":"8"},"uris":["http://www.mendeley.com/documents/?uuid=0c21e5c9-c255-491d-9340-3ea57040a7b3"]}],"mendeley":{"formattedCitation":"(Cai-Jin, Jing-Ying, and Gang-Xi 2021)","manualFormatting":"Cai-Jin et al., 2021","plainTextFormattedCitation":"(Cai-Jin, Jing-Ying, and Gang-Xi 2021)","previouslyFormattedCitation":"&lt;sup&gt;4&lt;/sup&gt;"},"properties":{"noteIndex":0},"schema":"https://github.com/citation-style-language/schema/raw/master/csl-citation.json"}</w:instrText>
            </w:r>
            <w:r>
              <w:rPr>
                <w:rFonts w:cs="Times New Roman"/>
                <w:sz w:val="18"/>
                <w:szCs w:val="18"/>
              </w:rPr>
              <w:fldChar w:fldCharType="separate"/>
            </w:r>
            <w:r w:rsidRPr="00D10762">
              <w:rPr>
                <w:rFonts w:cs="Times New Roman"/>
                <w:sz w:val="18"/>
                <w:szCs w:val="18"/>
              </w:rPr>
              <w:t>Cai-Jin</w:t>
            </w:r>
            <w:r>
              <w:rPr>
                <w:rFonts w:cs="Times New Roman"/>
                <w:sz w:val="18"/>
                <w:szCs w:val="18"/>
              </w:rPr>
              <w:t xml:space="preserve"> et al.,</w:t>
            </w:r>
            <w:r w:rsidRPr="00D10762">
              <w:rPr>
                <w:rFonts w:cs="Times New Roman"/>
                <w:sz w:val="18"/>
                <w:szCs w:val="18"/>
              </w:rPr>
              <w:t xml:space="preserve"> 2021</w:t>
            </w:r>
            <w:r>
              <w:rPr>
                <w:rFonts w:cs="Times New Roman"/>
                <w:sz w:val="18"/>
                <w:szCs w:val="18"/>
              </w:rPr>
              <w:fldChar w:fldCharType="end"/>
            </w:r>
          </w:p>
        </w:tc>
      </w:tr>
      <w:tr w:rsidR="00792164" w14:paraId="56A70890" w14:textId="77777777" w:rsidTr="009B7CB4">
        <w:trPr>
          <w:jc w:val="center"/>
        </w:trPr>
        <w:tc>
          <w:tcPr>
            <w:tcW w:w="2410" w:type="dxa"/>
            <w:shd w:val="clear" w:color="auto" w:fill="auto"/>
            <w:vAlign w:val="center"/>
          </w:tcPr>
          <w:p w14:paraId="1B61CAB0" w14:textId="77777777" w:rsidR="00792164" w:rsidRPr="00C75CE3" w:rsidRDefault="00792164" w:rsidP="009B7CB4">
            <w:pPr>
              <w:ind w:firstLineChars="0" w:firstLine="0"/>
              <w:jc w:val="left"/>
              <w:rPr>
                <w:rFonts w:cs="Times New Roman"/>
                <w:sz w:val="18"/>
                <w:szCs w:val="18"/>
              </w:rPr>
            </w:pPr>
            <w:r w:rsidRPr="00C75CE3">
              <w:rPr>
                <w:rFonts w:cs="Times New Roman"/>
                <w:sz w:val="18"/>
                <w:szCs w:val="18"/>
              </w:rPr>
              <w:t>Probability of zinc intake&gt;UL, %</w:t>
            </w:r>
          </w:p>
        </w:tc>
        <w:tc>
          <w:tcPr>
            <w:tcW w:w="1413" w:type="dxa"/>
            <w:shd w:val="clear" w:color="auto" w:fill="auto"/>
            <w:vAlign w:val="center"/>
          </w:tcPr>
          <w:p w14:paraId="11A97DE2" w14:textId="77777777" w:rsidR="00792164" w:rsidRPr="00C75CE3" w:rsidRDefault="00792164" w:rsidP="009B7CB4">
            <w:pPr>
              <w:ind w:firstLineChars="0" w:firstLine="0"/>
              <w:jc w:val="left"/>
              <w:rPr>
                <w:rFonts w:cs="Times New Roman"/>
                <w:sz w:val="18"/>
                <w:szCs w:val="18"/>
              </w:rPr>
            </w:pPr>
            <w:r w:rsidRPr="00C75CE3">
              <w:rPr>
                <w:rFonts w:cs="Times New Roman"/>
                <w:sz w:val="18"/>
                <w:szCs w:val="18"/>
              </w:rPr>
              <w:t>1</w:t>
            </w:r>
          </w:p>
        </w:tc>
        <w:tc>
          <w:tcPr>
            <w:tcW w:w="1843" w:type="dxa"/>
            <w:shd w:val="clear" w:color="auto" w:fill="auto"/>
            <w:vAlign w:val="center"/>
          </w:tcPr>
          <w:p w14:paraId="2E4F0691" w14:textId="77777777" w:rsidR="00792164" w:rsidRPr="00065254" w:rsidRDefault="00792164" w:rsidP="009B7CB4">
            <w:pPr>
              <w:ind w:firstLineChars="0" w:firstLine="0"/>
              <w:jc w:val="left"/>
              <w:rPr>
                <w:rFonts w:cs="Times New Roman"/>
                <w:sz w:val="18"/>
                <w:szCs w:val="18"/>
              </w:rPr>
            </w:pPr>
            <w:r w:rsidRPr="00065254">
              <w:rPr>
                <w:rFonts w:cs="Times New Roman" w:hint="eastAsia"/>
                <w:sz w:val="18"/>
                <w:szCs w:val="18"/>
              </w:rPr>
              <w:t>0</w:t>
            </w:r>
            <w:r w:rsidRPr="00065254">
              <w:rPr>
                <w:rFonts w:cs="Times New Roman"/>
                <w:sz w:val="18"/>
                <w:szCs w:val="18"/>
              </w:rPr>
              <w:t>.75</w:t>
            </w:r>
            <w:r w:rsidRPr="00065254">
              <w:rPr>
                <w:rFonts w:cs="Times New Roman" w:hint="eastAsia"/>
                <w:sz w:val="18"/>
                <w:szCs w:val="18"/>
              </w:rPr>
              <w:t>,</w:t>
            </w:r>
            <w:r w:rsidRPr="00065254">
              <w:rPr>
                <w:rFonts w:cs="Times New Roman"/>
                <w:sz w:val="18"/>
                <w:szCs w:val="18"/>
              </w:rPr>
              <w:t xml:space="preserve"> 1.25</w:t>
            </w:r>
          </w:p>
        </w:tc>
        <w:tc>
          <w:tcPr>
            <w:tcW w:w="851" w:type="dxa"/>
            <w:shd w:val="clear" w:color="auto" w:fill="auto"/>
            <w:vAlign w:val="center"/>
          </w:tcPr>
          <w:p w14:paraId="28BBBCBF" w14:textId="77777777" w:rsidR="00792164" w:rsidRPr="00065254" w:rsidRDefault="00792164" w:rsidP="009B7CB4">
            <w:pPr>
              <w:ind w:firstLineChars="0" w:firstLine="0"/>
              <w:jc w:val="left"/>
              <w:rPr>
                <w:rFonts w:cs="Times New Roman"/>
                <w:sz w:val="18"/>
                <w:szCs w:val="18"/>
              </w:rPr>
            </w:pPr>
            <w:r w:rsidRPr="00065254">
              <w:rPr>
                <w:rFonts w:cs="Times New Roman" w:hint="eastAsia"/>
                <w:sz w:val="18"/>
                <w:szCs w:val="18"/>
              </w:rPr>
              <w:t>0</w:t>
            </w:r>
            <w:r w:rsidRPr="00065254">
              <w:rPr>
                <w:rFonts w:cs="Times New Roman"/>
                <w:sz w:val="18"/>
                <w:szCs w:val="18"/>
              </w:rPr>
              <w:t>.0</w:t>
            </w:r>
            <w:r>
              <w:rPr>
                <w:rFonts w:cs="Times New Roman"/>
                <w:sz w:val="18"/>
                <w:szCs w:val="18"/>
              </w:rPr>
              <w:t>02</w:t>
            </w:r>
          </w:p>
        </w:tc>
        <w:tc>
          <w:tcPr>
            <w:tcW w:w="1275" w:type="dxa"/>
            <w:shd w:val="clear" w:color="auto" w:fill="auto"/>
            <w:vAlign w:val="center"/>
          </w:tcPr>
          <w:p w14:paraId="4544BD95" w14:textId="77777777" w:rsidR="00792164" w:rsidRPr="00C75CE3" w:rsidRDefault="00792164" w:rsidP="009B7CB4">
            <w:pPr>
              <w:ind w:firstLineChars="0" w:firstLine="0"/>
              <w:jc w:val="left"/>
              <w:rPr>
                <w:rFonts w:cs="Times New Roman"/>
                <w:sz w:val="18"/>
                <w:szCs w:val="18"/>
              </w:rPr>
            </w:pPr>
            <w:r w:rsidRPr="00C75CE3">
              <w:rPr>
                <w:rFonts w:cs="Times New Roman"/>
                <w:sz w:val="18"/>
                <w:szCs w:val="18"/>
              </w:rPr>
              <w:t>β</w:t>
            </w:r>
          </w:p>
        </w:tc>
        <w:tc>
          <w:tcPr>
            <w:tcW w:w="1990" w:type="dxa"/>
            <w:shd w:val="clear" w:color="auto" w:fill="auto"/>
            <w:vAlign w:val="center"/>
          </w:tcPr>
          <w:p w14:paraId="7929E0EE" w14:textId="77777777" w:rsidR="00792164" w:rsidRPr="00C75CE3" w:rsidRDefault="00792164" w:rsidP="009B7CB4">
            <w:pPr>
              <w:ind w:firstLineChars="0" w:firstLine="0"/>
              <w:jc w:val="left"/>
              <w:rPr>
                <w:rFonts w:cs="Times New Roman"/>
                <w:sz w:val="18"/>
                <w:szCs w:val="18"/>
              </w:rPr>
            </w:pPr>
            <w:r w:rsidRPr="00C75CE3">
              <w:rPr>
                <w:rFonts w:cs="Times New Roman"/>
                <w:sz w:val="18"/>
                <w:szCs w:val="18"/>
              </w:rPr>
              <w:fldChar w:fldCharType="begin" w:fldLock="1"/>
            </w:r>
            <w:r>
              <w:rPr>
                <w:rFonts w:cs="Times New Roman"/>
                <w:sz w:val="18"/>
                <w:szCs w:val="18"/>
              </w:rPr>
              <w:instrText>ADDIN CSL_CITATION {"citationItems":[{"id":"ITEM-1","itemData":{"author":[{"dropping-particle":"","family":"Yan","given":"Caijin","non-dropping-particle":"","parse-names":false,"suffix":""}],"id":"ITEM-1","issued":{"date-parts":[["2021"]]},"publisher":"Fujian Medical University","title":"Meta-Analysis of Zinc Deficiency Status and its Influence Factors among Children in Mainland China in the past 15 years","type":"thesis"},"uris":["http://www.mendeley.com/documents/?uuid=b918208f-130f-4410-8dca-8d26f8867660"]}],"mendeley":{"formattedCitation":"(Yan 2021)","manualFormatting":"Yan, 2021","plainTextFormattedCitation":"(Yan 2021)","previouslyFormattedCitation":"&lt;sup&gt;5&lt;/sup&gt;"},"properties":{"noteIndex":0},"schema":"https://github.com/citation-style-language/schema/raw/master/csl-citation.json"}</w:instrText>
            </w:r>
            <w:r w:rsidRPr="00C75CE3">
              <w:rPr>
                <w:rFonts w:cs="Times New Roman"/>
                <w:sz w:val="18"/>
                <w:szCs w:val="18"/>
              </w:rPr>
              <w:fldChar w:fldCharType="separate"/>
            </w:r>
            <w:r w:rsidRPr="00C75CE3">
              <w:rPr>
                <w:rFonts w:cs="Times New Roman"/>
                <w:noProof/>
                <w:sz w:val="18"/>
                <w:szCs w:val="18"/>
              </w:rPr>
              <w:t>Yan, 2021</w:t>
            </w:r>
            <w:r w:rsidRPr="00C75CE3">
              <w:rPr>
                <w:rFonts w:cs="Times New Roman"/>
                <w:sz w:val="18"/>
                <w:szCs w:val="18"/>
              </w:rPr>
              <w:fldChar w:fldCharType="end"/>
            </w:r>
          </w:p>
        </w:tc>
      </w:tr>
      <w:tr w:rsidR="00792164" w14:paraId="564F3987" w14:textId="77777777" w:rsidTr="009B7CB4">
        <w:trPr>
          <w:jc w:val="center"/>
        </w:trPr>
        <w:tc>
          <w:tcPr>
            <w:tcW w:w="2410" w:type="dxa"/>
            <w:shd w:val="clear" w:color="auto" w:fill="auto"/>
            <w:vAlign w:val="center"/>
          </w:tcPr>
          <w:p w14:paraId="61007120" w14:textId="77777777" w:rsidR="00792164" w:rsidRPr="00C75CE3" w:rsidRDefault="00792164" w:rsidP="009B7CB4">
            <w:pPr>
              <w:ind w:firstLineChars="0" w:firstLine="0"/>
              <w:jc w:val="left"/>
              <w:rPr>
                <w:rFonts w:cs="Times New Roman"/>
                <w:sz w:val="18"/>
                <w:szCs w:val="18"/>
              </w:rPr>
            </w:pPr>
            <w:r w:rsidRPr="00C75CE3">
              <w:rPr>
                <w:rFonts w:cs="Times New Roman" w:hint="eastAsia"/>
                <w:sz w:val="18"/>
                <w:szCs w:val="18"/>
              </w:rPr>
              <w:t>RR</w:t>
            </w:r>
            <w:r w:rsidRPr="00C75CE3">
              <w:rPr>
                <w:rFonts w:cs="Times New Roman"/>
                <w:sz w:val="18"/>
                <w:szCs w:val="18"/>
              </w:rPr>
              <w:t xml:space="preserve"> </w:t>
            </w:r>
            <w:r w:rsidRPr="00C75CE3">
              <w:rPr>
                <w:rFonts w:cs="Times New Roman" w:hint="eastAsia"/>
                <w:sz w:val="18"/>
                <w:szCs w:val="18"/>
              </w:rPr>
              <w:t>risk</w:t>
            </w:r>
            <w:r w:rsidRPr="00C75CE3">
              <w:rPr>
                <w:rFonts w:cs="Times New Roman"/>
                <w:sz w:val="18"/>
                <w:szCs w:val="18"/>
              </w:rPr>
              <w:t xml:space="preserve"> </w:t>
            </w:r>
            <w:r w:rsidRPr="00C75CE3">
              <w:rPr>
                <w:rFonts w:cs="Times New Roman" w:hint="eastAsia"/>
                <w:sz w:val="18"/>
                <w:szCs w:val="18"/>
              </w:rPr>
              <w:t>of</w:t>
            </w:r>
            <w:r w:rsidRPr="00C75CE3">
              <w:rPr>
                <w:rFonts w:cs="Times New Roman"/>
                <w:sz w:val="18"/>
                <w:szCs w:val="18"/>
              </w:rPr>
              <w:t xml:space="preserve"> excessive intake</w:t>
            </w:r>
            <w:r>
              <w:rPr>
                <w:rFonts w:cs="Times New Roman"/>
                <w:sz w:val="18"/>
                <w:szCs w:val="18"/>
              </w:rPr>
              <w:t xml:space="preserve"> (</w:t>
            </w:r>
            <w:r w:rsidRPr="00C75CE3">
              <w:rPr>
                <w:rFonts w:cs="Times New Roman" w:hint="eastAsia"/>
                <w:sz w:val="18"/>
                <w:szCs w:val="18"/>
              </w:rPr>
              <w:t>zinc</w:t>
            </w:r>
            <w:r w:rsidRPr="00C75CE3">
              <w:rPr>
                <w:rFonts w:cs="Times New Roman"/>
                <w:sz w:val="18"/>
                <w:szCs w:val="18"/>
              </w:rPr>
              <w:t xml:space="preserve"> </w:t>
            </w:r>
            <w:r w:rsidRPr="00C75CE3">
              <w:rPr>
                <w:rFonts w:cs="Times New Roman" w:hint="eastAsia"/>
                <w:sz w:val="18"/>
                <w:szCs w:val="18"/>
              </w:rPr>
              <w:t>supplementation</w:t>
            </w:r>
            <w:r>
              <w:rPr>
                <w:rFonts w:cs="Times New Roman"/>
                <w:sz w:val="18"/>
                <w:szCs w:val="18"/>
              </w:rPr>
              <w:t>)</w:t>
            </w:r>
          </w:p>
        </w:tc>
        <w:tc>
          <w:tcPr>
            <w:tcW w:w="1413" w:type="dxa"/>
            <w:shd w:val="clear" w:color="auto" w:fill="auto"/>
            <w:vAlign w:val="center"/>
          </w:tcPr>
          <w:p w14:paraId="6900B948" w14:textId="77777777" w:rsidR="00792164" w:rsidRPr="00C75CE3" w:rsidRDefault="00792164" w:rsidP="009B7CB4">
            <w:pPr>
              <w:ind w:firstLineChars="0" w:firstLine="0"/>
              <w:jc w:val="left"/>
              <w:rPr>
                <w:rFonts w:cs="Times New Roman"/>
                <w:sz w:val="18"/>
                <w:szCs w:val="18"/>
              </w:rPr>
            </w:pPr>
            <w:r w:rsidRPr="00C75CE3">
              <w:rPr>
                <w:rFonts w:cs="Times New Roman"/>
                <w:sz w:val="18"/>
                <w:szCs w:val="18"/>
              </w:rPr>
              <w:t>1.45</w:t>
            </w:r>
          </w:p>
        </w:tc>
        <w:tc>
          <w:tcPr>
            <w:tcW w:w="1843" w:type="dxa"/>
            <w:shd w:val="clear" w:color="auto" w:fill="auto"/>
            <w:vAlign w:val="center"/>
          </w:tcPr>
          <w:p w14:paraId="5BD0E522" w14:textId="77777777" w:rsidR="00792164" w:rsidRPr="00C75CE3" w:rsidRDefault="00792164" w:rsidP="009B7CB4">
            <w:pPr>
              <w:ind w:firstLineChars="0" w:firstLine="0"/>
              <w:jc w:val="left"/>
              <w:rPr>
                <w:rFonts w:cs="Times New Roman"/>
                <w:sz w:val="18"/>
                <w:szCs w:val="18"/>
              </w:rPr>
            </w:pPr>
            <w:r w:rsidRPr="00C75CE3">
              <w:rPr>
                <w:rFonts w:cs="Times New Roman"/>
                <w:sz w:val="18"/>
                <w:szCs w:val="18"/>
              </w:rPr>
              <w:t>1.09, 1.81</w:t>
            </w:r>
          </w:p>
        </w:tc>
        <w:tc>
          <w:tcPr>
            <w:tcW w:w="851" w:type="dxa"/>
            <w:shd w:val="clear" w:color="auto" w:fill="auto"/>
            <w:vAlign w:val="center"/>
          </w:tcPr>
          <w:p w14:paraId="77F32B5B" w14:textId="77777777" w:rsidR="00792164" w:rsidRPr="00065254" w:rsidRDefault="00792164" w:rsidP="009B7CB4">
            <w:pPr>
              <w:ind w:firstLineChars="0" w:firstLine="0"/>
              <w:jc w:val="left"/>
              <w:rPr>
                <w:rFonts w:cs="Times New Roman"/>
                <w:sz w:val="18"/>
                <w:szCs w:val="18"/>
              </w:rPr>
            </w:pPr>
            <w:r w:rsidRPr="00065254">
              <w:rPr>
                <w:rFonts w:cs="Times New Roman"/>
                <w:sz w:val="18"/>
                <w:szCs w:val="18"/>
              </w:rPr>
              <w:t>0.</w:t>
            </w:r>
            <w:r>
              <w:rPr>
                <w:rFonts w:cs="Times New Roman"/>
                <w:sz w:val="18"/>
                <w:szCs w:val="18"/>
              </w:rPr>
              <w:t>11</w:t>
            </w:r>
          </w:p>
        </w:tc>
        <w:tc>
          <w:tcPr>
            <w:tcW w:w="1275" w:type="dxa"/>
            <w:shd w:val="clear" w:color="auto" w:fill="auto"/>
            <w:vAlign w:val="center"/>
          </w:tcPr>
          <w:p w14:paraId="46D33260" w14:textId="77777777" w:rsidR="00792164" w:rsidRPr="00C75CE3" w:rsidRDefault="00792164" w:rsidP="009B7CB4">
            <w:pPr>
              <w:ind w:firstLineChars="0" w:firstLine="0"/>
              <w:jc w:val="left"/>
              <w:rPr>
                <w:rFonts w:cs="Times New Roman"/>
                <w:sz w:val="18"/>
                <w:szCs w:val="18"/>
              </w:rPr>
            </w:pPr>
            <w:r w:rsidRPr="00C75CE3">
              <w:rPr>
                <w:rFonts w:cs="Times New Roman"/>
                <w:sz w:val="18"/>
                <w:szCs w:val="18"/>
              </w:rPr>
              <w:t>β</w:t>
            </w:r>
          </w:p>
        </w:tc>
        <w:tc>
          <w:tcPr>
            <w:tcW w:w="1990" w:type="dxa"/>
            <w:shd w:val="clear" w:color="auto" w:fill="auto"/>
            <w:vAlign w:val="center"/>
          </w:tcPr>
          <w:p w14:paraId="2F407181" w14:textId="77777777" w:rsidR="00792164" w:rsidRPr="00C75CE3" w:rsidRDefault="00792164" w:rsidP="009B7CB4">
            <w:pPr>
              <w:ind w:firstLineChars="0" w:firstLine="0"/>
              <w:jc w:val="left"/>
              <w:rPr>
                <w:rFonts w:cs="Times New Roman"/>
                <w:sz w:val="18"/>
                <w:szCs w:val="18"/>
              </w:rPr>
            </w:pPr>
            <w:r w:rsidRPr="00C75CE3">
              <w:rPr>
                <w:rFonts w:cs="Times New Roman"/>
                <w:sz w:val="18"/>
                <w:szCs w:val="18"/>
              </w:rPr>
              <w:fldChar w:fldCharType="begin" w:fldLock="1"/>
            </w:r>
            <w:r>
              <w:rPr>
                <w:rFonts w:cs="Times New Roman"/>
                <w:sz w:val="18"/>
                <w:szCs w:val="18"/>
              </w:rPr>
              <w:instrText>ADDIN CSL_CITATION {"citationItems":[{"id":"ITEM-1","itemData":{"ISSN":"0731-5724","author":[{"dropping-particle":"","family":"Wallace","given":"Taylor C","non-dropping-particle":"","parse-names":false,"suffix":""},{"dropping-particle":"","family":"McBurney","given":"Michael","non-dropping-particle":"","parse-names":false,"suffix":""},{"dropping-particle":"","family":"Fulgoni III","given":"Victor L","non-dropping-particle":"","parse-names":false,"suffix":""}],"container-title":"Journal of the American College of Nutrition","id":"ITEM-1","issue":"2","issued":{"date-parts":[["2014"]]},"page":"94-102","publisher":"Taylor &amp; Francis","title":"Multivitamin/mineral supplement contribution to micronutrient intakes in the United States, 2007–2010","type":"article-journal","volume":"33"},"uris":["http://www.mendeley.com/documents/?uuid=3d50b6ed-a09c-4699-9c1f-33720cb44db2"]}],"mendeley":{"formattedCitation":"(Wallace, McBurney, and Fulgoni III 2014)","manualFormatting":"Wallace et al., 2014","plainTextFormattedCitation":"(Wallace, McBurney, and Fulgoni III 2014)","previouslyFormattedCitation":"&lt;sup&gt;6&lt;/sup&gt;"},"properties":{"noteIndex":0},"schema":"https://github.com/citation-style-language/schema/raw/master/csl-citation.json"}</w:instrText>
            </w:r>
            <w:r w:rsidRPr="00C75CE3">
              <w:rPr>
                <w:rFonts w:cs="Times New Roman"/>
                <w:sz w:val="18"/>
                <w:szCs w:val="18"/>
              </w:rPr>
              <w:fldChar w:fldCharType="separate"/>
            </w:r>
            <w:r w:rsidRPr="00C75CE3">
              <w:rPr>
                <w:rFonts w:cs="Times New Roman"/>
                <w:noProof/>
                <w:sz w:val="18"/>
                <w:szCs w:val="18"/>
              </w:rPr>
              <w:t>Wallace et al., 2014</w:t>
            </w:r>
            <w:r w:rsidRPr="00C75CE3">
              <w:rPr>
                <w:rFonts w:cs="Times New Roman"/>
                <w:sz w:val="18"/>
                <w:szCs w:val="18"/>
              </w:rPr>
              <w:fldChar w:fldCharType="end"/>
            </w:r>
          </w:p>
        </w:tc>
      </w:tr>
      <w:tr w:rsidR="00792164" w14:paraId="0F160868" w14:textId="77777777" w:rsidTr="009B7CB4">
        <w:trPr>
          <w:jc w:val="center"/>
        </w:trPr>
        <w:tc>
          <w:tcPr>
            <w:tcW w:w="2410" w:type="dxa"/>
            <w:shd w:val="clear" w:color="auto" w:fill="auto"/>
            <w:vAlign w:val="center"/>
          </w:tcPr>
          <w:p w14:paraId="385EDDD0" w14:textId="77777777" w:rsidR="00792164" w:rsidRPr="00C75CE3" w:rsidRDefault="00792164" w:rsidP="009B7CB4">
            <w:pPr>
              <w:ind w:firstLineChars="0" w:firstLine="0"/>
              <w:jc w:val="left"/>
              <w:rPr>
                <w:rFonts w:cs="Times New Roman"/>
                <w:sz w:val="18"/>
                <w:szCs w:val="18"/>
              </w:rPr>
            </w:pPr>
            <w:r w:rsidRPr="00C75CE3">
              <w:rPr>
                <w:rFonts w:cs="Times New Roman" w:hint="eastAsia"/>
                <w:sz w:val="18"/>
                <w:szCs w:val="18"/>
              </w:rPr>
              <w:t>RR</w:t>
            </w:r>
            <w:r w:rsidRPr="00C75CE3">
              <w:rPr>
                <w:rFonts w:cs="Times New Roman"/>
                <w:sz w:val="18"/>
                <w:szCs w:val="18"/>
              </w:rPr>
              <w:t xml:space="preserve"> </w:t>
            </w:r>
            <w:r w:rsidRPr="00C75CE3">
              <w:rPr>
                <w:rFonts w:cs="Times New Roman" w:hint="eastAsia"/>
                <w:sz w:val="18"/>
                <w:szCs w:val="18"/>
              </w:rPr>
              <w:t>risk</w:t>
            </w:r>
            <w:r w:rsidRPr="00C75CE3">
              <w:rPr>
                <w:rFonts w:cs="Times New Roman"/>
                <w:sz w:val="18"/>
                <w:szCs w:val="18"/>
              </w:rPr>
              <w:t xml:space="preserve"> </w:t>
            </w:r>
            <w:r w:rsidRPr="00C75CE3">
              <w:rPr>
                <w:rFonts w:cs="Times New Roman" w:hint="eastAsia"/>
                <w:sz w:val="18"/>
                <w:szCs w:val="18"/>
              </w:rPr>
              <w:t>of</w:t>
            </w:r>
            <w:r w:rsidRPr="00C75CE3">
              <w:rPr>
                <w:rFonts w:cs="Times New Roman"/>
                <w:sz w:val="18"/>
                <w:szCs w:val="18"/>
              </w:rPr>
              <w:t xml:space="preserve"> excessive intake</w:t>
            </w:r>
            <w:r>
              <w:rPr>
                <w:rFonts w:cs="Times New Roman"/>
                <w:sz w:val="18"/>
                <w:szCs w:val="18"/>
              </w:rPr>
              <w:t xml:space="preserve"> (zinc fortification)</w:t>
            </w:r>
          </w:p>
        </w:tc>
        <w:tc>
          <w:tcPr>
            <w:tcW w:w="1413" w:type="dxa"/>
            <w:shd w:val="clear" w:color="auto" w:fill="auto"/>
            <w:vAlign w:val="center"/>
          </w:tcPr>
          <w:p w14:paraId="2A705260" w14:textId="77777777" w:rsidR="00792164" w:rsidRPr="00C75CE3" w:rsidRDefault="00792164" w:rsidP="009B7CB4">
            <w:pPr>
              <w:ind w:firstLineChars="0" w:firstLine="0"/>
              <w:jc w:val="left"/>
              <w:rPr>
                <w:rFonts w:cs="Times New Roman"/>
                <w:sz w:val="18"/>
                <w:szCs w:val="18"/>
              </w:rPr>
            </w:pPr>
            <w:r w:rsidRPr="00C75CE3">
              <w:rPr>
                <w:rFonts w:cs="Times New Roman"/>
                <w:sz w:val="18"/>
                <w:szCs w:val="18"/>
              </w:rPr>
              <w:t>1.42</w:t>
            </w:r>
          </w:p>
        </w:tc>
        <w:tc>
          <w:tcPr>
            <w:tcW w:w="1843" w:type="dxa"/>
            <w:shd w:val="clear" w:color="auto" w:fill="auto"/>
            <w:vAlign w:val="center"/>
          </w:tcPr>
          <w:p w14:paraId="3214F03D" w14:textId="77777777" w:rsidR="00792164" w:rsidRPr="00C75CE3" w:rsidRDefault="00792164" w:rsidP="009B7CB4">
            <w:pPr>
              <w:ind w:firstLineChars="0" w:firstLine="0"/>
              <w:jc w:val="left"/>
              <w:rPr>
                <w:rFonts w:cs="Times New Roman"/>
                <w:sz w:val="18"/>
                <w:szCs w:val="18"/>
              </w:rPr>
            </w:pPr>
            <w:r w:rsidRPr="00C75CE3">
              <w:rPr>
                <w:rFonts w:cs="Times New Roman"/>
                <w:sz w:val="18"/>
                <w:szCs w:val="18"/>
              </w:rPr>
              <w:t>1.07, 1.78</w:t>
            </w:r>
          </w:p>
        </w:tc>
        <w:tc>
          <w:tcPr>
            <w:tcW w:w="851" w:type="dxa"/>
            <w:shd w:val="clear" w:color="auto" w:fill="auto"/>
            <w:vAlign w:val="center"/>
          </w:tcPr>
          <w:p w14:paraId="685112F3" w14:textId="77777777" w:rsidR="00792164" w:rsidRPr="00065254" w:rsidRDefault="00792164" w:rsidP="009B7CB4">
            <w:pPr>
              <w:ind w:firstLineChars="0" w:firstLine="0"/>
              <w:jc w:val="left"/>
              <w:rPr>
                <w:rFonts w:cs="Times New Roman"/>
                <w:sz w:val="18"/>
                <w:szCs w:val="18"/>
              </w:rPr>
            </w:pPr>
            <w:r w:rsidRPr="00065254">
              <w:rPr>
                <w:rFonts w:cs="Times New Roman"/>
                <w:sz w:val="18"/>
                <w:szCs w:val="18"/>
              </w:rPr>
              <w:t>0.</w:t>
            </w:r>
            <w:r>
              <w:rPr>
                <w:rFonts w:cs="Times New Roman"/>
                <w:sz w:val="18"/>
                <w:szCs w:val="18"/>
              </w:rPr>
              <w:t>11</w:t>
            </w:r>
          </w:p>
        </w:tc>
        <w:tc>
          <w:tcPr>
            <w:tcW w:w="1275" w:type="dxa"/>
            <w:shd w:val="clear" w:color="auto" w:fill="auto"/>
            <w:vAlign w:val="center"/>
          </w:tcPr>
          <w:p w14:paraId="0950D65D" w14:textId="77777777" w:rsidR="00792164" w:rsidRPr="00C75CE3" w:rsidRDefault="00792164" w:rsidP="009B7CB4">
            <w:pPr>
              <w:ind w:firstLineChars="0" w:firstLine="0"/>
              <w:jc w:val="left"/>
              <w:rPr>
                <w:rFonts w:cs="Times New Roman"/>
                <w:sz w:val="18"/>
                <w:szCs w:val="18"/>
              </w:rPr>
            </w:pPr>
            <w:r w:rsidRPr="00C75CE3">
              <w:rPr>
                <w:rFonts w:cs="Times New Roman"/>
                <w:sz w:val="18"/>
                <w:szCs w:val="18"/>
              </w:rPr>
              <w:t>β</w:t>
            </w:r>
          </w:p>
        </w:tc>
        <w:tc>
          <w:tcPr>
            <w:tcW w:w="1990" w:type="dxa"/>
            <w:shd w:val="clear" w:color="auto" w:fill="auto"/>
            <w:vAlign w:val="center"/>
          </w:tcPr>
          <w:p w14:paraId="7D3C5857" w14:textId="77777777" w:rsidR="00792164" w:rsidRPr="00C75CE3" w:rsidRDefault="00792164" w:rsidP="009B7CB4">
            <w:pPr>
              <w:ind w:firstLineChars="0" w:firstLine="0"/>
              <w:jc w:val="left"/>
              <w:rPr>
                <w:rFonts w:cs="Times New Roman"/>
                <w:sz w:val="18"/>
                <w:szCs w:val="18"/>
              </w:rPr>
            </w:pPr>
            <w:r w:rsidRPr="00C75CE3">
              <w:rPr>
                <w:rFonts w:cs="Times New Roman"/>
                <w:sz w:val="18"/>
                <w:szCs w:val="18"/>
              </w:rPr>
              <w:fldChar w:fldCharType="begin" w:fldLock="1"/>
            </w:r>
            <w:r>
              <w:rPr>
                <w:rFonts w:cs="Times New Roman"/>
                <w:sz w:val="18"/>
                <w:szCs w:val="18"/>
              </w:rPr>
              <w:instrText>ADDIN CSL_CITATION {"citationItems":[{"id":"ITEM-1","itemData":{"ISSN":"1476-5640","author":[{"dropping-particle":"","family":"Sacco","given":"Jocelyn E","non-dropping-particle":"","parse-names":false,"suffix":""},{"dropping-particle":"","family":"Dodd","given":"Kevin W","non-dropping-particle":"","parse-names":false,"suffix":""},{"dropping-particle":"","family":"Kirkpatrick","given":"Sharon I","non-dropping-particle":"","parse-names":false,"suffix":""},{"dropping-particle":"","family":"Tarasuk","given":"Valerie","non-dropping-particle":"","parse-names":false,"suffix":""}],"container-title":"European journal of clinical nutrition","id":"ITEM-1","issue":"6","issued":{"date-parts":[["2013"]]},"page":"592-597","publisher":"Nature Publishing Group","title":"Voluntary food fortification in the United States: potential for excessive intakes","type":"article-journal","volume":"67"},"uris":["http://www.mendeley.com/documents/?uuid=d4cff050-00e3-4ea1-924a-bee7129f742c"]}],"mendeley":{"formattedCitation":"(Sacco et al. 2013)","manualFormatting":"Sacco et al., 2013","plainTextFormattedCitation":"(Sacco et al. 2013)","previouslyFormattedCitation":"&lt;sup&gt;7&lt;/sup&gt;"},"properties":{"noteIndex":0},"schema":"https://github.com/citation-style-language/schema/raw/master/csl-citation.json"}</w:instrText>
            </w:r>
            <w:r w:rsidRPr="00C75CE3">
              <w:rPr>
                <w:rFonts w:cs="Times New Roman"/>
                <w:sz w:val="18"/>
                <w:szCs w:val="18"/>
              </w:rPr>
              <w:fldChar w:fldCharType="separate"/>
            </w:r>
            <w:r w:rsidRPr="00C75CE3">
              <w:rPr>
                <w:rFonts w:cs="Times New Roman"/>
                <w:noProof/>
                <w:sz w:val="18"/>
                <w:szCs w:val="18"/>
              </w:rPr>
              <w:t>Sacco et al., 2013</w:t>
            </w:r>
            <w:r w:rsidRPr="00C75CE3">
              <w:rPr>
                <w:rFonts w:cs="Times New Roman"/>
                <w:sz w:val="18"/>
                <w:szCs w:val="18"/>
              </w:rPr>
              <w:fldChar w:fldCharType="end"/>
            </w:r>
          </w:p>
        </w:tc>
      </w:tr>
      <w:tr w:rsidR="00792164" w14:paraId="384565C6" w14:textId="77777777" w:rsidTr="009B7CB4">
        <w:trPr>
          <w:trHeight w:val="1712"/>
          <w:jc w:val="center"/>
        </w:trPr>
        <w:tc>
          <w:tcPr>
            <w:tcW w:w="2410" w:type="dxa"/>
            <w:vAlign w:val="center"/>
          </w:tcPr>
          <w:p w14:paraId="5B4D2890" w14:textId="77777777" w:rsidR="00792164" w:rsidRPr="0048701F" w:rsidRDefault="00792164" w:rsidP="009B7CB4">
            <w:pPr>
              <w:ind w:firstLineChars="0" w:firstLine="0"/>
              <w:jc w:val="left"/>
              <w:rPr>
                <w:rFonts w:cs="Times New Roman"/>
                <w:sz w:val="18"/>
                <w:szCs w:val="18"/>
              </w:rPr>
            </w:pPr>
            <w:r w:rsidRPr="0048701F">
              <w:rPr>
                <w:rFonts w:cs="Times New Roman" w:hint="eastAsia"/>
                <w:sz w:val="18"/>
                <w:szCs w:val="18"/>
              </w:rPr>
              <w:t>RR</w:t>
            </w:r>
            <w:r w:rsidRPr="0048701F">
              <w:rPr>
                <w:rFonts w:cs="Times New Roman"/>
                <w:sz w:val="18"/>
                <w:szCs w:val="18"/>
              </w:rPr>
              <w:t xml:space="preserve"> </w:t>
            </w:r>
            <w:r w:rsidRPr="0048701F">
              <w:rPr>
                <w:rFonts w:cs="Times New Roman" w:hint="eastAsia"/>
                <w:sz w:val="18"/>
                <w:szCs w:val="18"/>
              </w:rPr>
              <w:t>risk</w:t>
            </w:r>
            <w:r w:rsidRPr="0048701F">
              <w:rPr>
                <w:rFonts w:cs="Times New Roman"/>
                <w:sz w:val="18"/>
                <w:szCs w:val="18"/>
              </w:rPr>
              <w:t xml:space="preserve"> </w:t>
            </w:r>
            <w:r w:rsidRPr="0048701F">
              <w:rPr>
                <w:rFonts w:cs="Times New Roman" w:hint="eastAsia"/>
                <w:sz w:val="18"/>
                <w:szCs w:val="18"/>
              </w:rPr>
              <w:t>of</w:t>
            </w:r>
            <w:r w:rsidRPr="0048701F">
              <w:rPr>
                <w:rFonts w:cs="Times New Roman"/>
                <w:sz w:val="18"/>
                <w:szCs w:val="18"/>
              </w:rPr>
              <w:t xml:space="preserve"> excessive intake</w:t>
            </w:r>
            <w:r>
              <w:rPr>
                <w:rFonts w:cs="Times New Roman"/>
                <w:sz w:val="18"/>
                <w:szCs w:val="18"/>
              </w:rPr>
              <w:t xml:space="preserve"> (biofortification)</w:t>
            </w:r>
          </w:p>
        </w:tc>
        <w:tc>
          <w:tcPr>
            <w:tcW w:w="1413" w:type="dxa"/>
            <w:vAlign w:val="center"/>
          </w:tcPr>
          <w:p w14:paraId="3A1A11A7" w14:textId="77777777" w:rsidR="00792164" w:rsidRPr="0048701F" w:rsidRDefault="00792164" w:rsidP="009B7CB4">
            <w:pPr>
              <w:ind w:firstLineChars="0" w:firstLine="0"/>
              <w:jc w:val="left"/>
              <w:rPr>
                <w:rFonts w:cs="Times New Roman"/>
                <w:sz w:val="18"/>
                <w:szCs w:val="18"/>
              </w:rPr>
            </w:pPr>
            <w:r w:rsidRPr="0048701F">
              <w:rPr>
                <w:rFonts w:cs="Times New Roman"/>
                <w:sz w:val="18"/>
                <w:szCs w:val="18"/>
              </w:rPr>
              <w:t>1.42</w:t>
            </w:r>
          </w:p>
        </w:tc>
        <w:tc>
          <w:tcPr>
            <w:tcW w:w="1843" w:type="dxa"/>
            <w:vAlign w:val="center"/>
          </w:tcPr>
          <w:p w14:paraId="1523F861" w14:textId="77777777" w:rsidR="00792164" w:rsidRPr="0048701F" w:rsidRDefault="00792164" w:rsidP="009B7CB4">
            <w:pPr>
              <w:ind w:firstLineChars="0" w:firstLine="0"/>
              <w:jc w:val="left"/>
              <w:rPr>
                <w:rFonts w:cs="Times New Roman"/>
                <w:sz w:val="18"/>
                <w:szCs w:val="18"/>
              </w:rPr>
            </w:pPr>
            <w:r w:rsidRPr="0048701F">
              <w:rPr>
                <w:rFonts w:cs="Times New Roman"/>
                <w:sz w:val="18"/>
                <w:szCs w:val="18"/>
              </w:rPr>
              <w:t>1.07</w:t>
            </w:r>
            <w:r w:rsidRPr="0048701F">
              <w:rPr>
                <w:rFonts w:cs="Times New Roman" w:hint="eastAsia"/>
                <w:sz w:val="18"/>
                <w:szCs w:val="18"/>
              </w:rPr>
              <w:t>,</w:t>
            </w:r>
            <w:r w:rsidRPr="0048701F">
              <w:rPr>
                <w:rFonts w:cs="Times New Roman"/>
                <w:sz w:val="18"/>
                <w:szCs w:val="18"/>
              </w:rPr>
              <w:t xml:space="preserve"> 1.78</w:t>
            </w:r>
          </w:p>
        </w:tc>
        <w:tc>
          <w:tcPr>
            <w:tcW w:w="851" w:type="dxa"/>
            <w:vAlign w:val="center"/>
          </w:tcPr>
          <w:p w14:paraId="1FFC6A5F" w14:textId="77777777" w:rsidR="00792164" w:rsidRPr="00065254" w:rsidRDefault="00792164" w:rsidP="009B7CB4">
            <w:pPr>
              <w:ind w:firstLineChars="0" w:firstLine="0"/>
              <w:jc w:val="left"/>
              <w:rPr>
                <w:rFonts w:cs="Times New Roman"/>
                <w:sz w:val="18"/>
                <w:szCs w:val="18"/>
              </w:rPr>
            </w:pPr>
            <w:r w:rsidRPr="00065254">
              <w:rPr>
                <w:rFonts w:cs="Times New Roman"/>
                <w:sz w:val="18"/>
                <w:szCs w:val="18"/>
              </w:rPr>
              <w:t>0.05</w:t>
            </w:r>
          </w:p>
        </w:tc>
        <w:tc>
          <w:tcPr>
            <w:tcW w:w="1275" w:type="dxa"/>
            <w:vAlign w:val="center"/>
          </w:tcPr>
          <w:p w14:paraId="31897CC7" w14:textId="77777777" w:rsidR="00792164" w:rsidRPr="0048701F" w:rsidRDefault="00792164" w:rsidP="009B7CB4">
            <w:pPr>
              <w:ind w:firstLineChars="0" w:firstLine="0"/>
              <w:jc w:val="left"/>
              <w:rPr>
                <w:rFonts w:cs="Times New Roman"/>
                <w:sz w:val="18"/>
                <w:szCs w:val="18"/>
              </w:rPr>
            </w:pPr>
            <w:r w:rsidRPr="0048701F">
              <w:rPr>
                <w:rFonts w:cs="Times New Roman"/>
                <w:sz w:val="18"/>
                <w:szCs w:val="18"/>
              </w:rPr>
              <w:t>β</w:t>
            </w:r>
          </w:p>
        </w:tc>
        <w:tc>
          <w:tcPr>
            <w:tcW w:w="1990" w:type="dxa"/>
            <w:vAlign w:val="center"/>
          </w:tcPr>
          <w:p w14:paraId="0284B5F7" w14:textId="77777777" w:rsidR="00792164" w:rsidRPr="0048701F" w:rsidRDefault="00792164" w:rsidP="009B7CB4">
            <w:pPr>
              <w:ind w:firstLineChars="0" w:firstLine="0"/>
              <w:jc w:val="left"/>
              <w:rPr>
                <w:rFonts w:cs="Times New Roman"/>
                <w:sz w:val="18"/>
                <w:szCs w:val="18"/>
              </w:rPr>
            </w:pPr>
            <w:r w:rsidRPr="0048701F">
              <w:rPr>
                <w:rFonts w:cs="Times New Roman"/>
                <w:sz w:val="18"/>
                <w:szCs w:val="18"/>
              </w:rPr>
              <w:t>A</w:t>
            </w:r>
            <w:r w:rsidRPr="0048701F">
              <w:rPr>
                <w:rFonts w:cs="Times New Roman" w:hint="eastAsia"/>
                <w:sz w:val="18"/>
                <w:szCs w:val="18"/>
              </w:rPr>
              <w:t>ssumed</w:t>
            </w:r>
            <w:r w:rsidRPr="0048701F">
              <w:rPr>
                <w:rFonts w:cs="Times New Roman"/>
                <w:sz w:val="18"/>
                <w:szCs w:val="18"/>
              </w:rPr>
              <w:t xml:space="preserve"> </w:t>
            </w:r>
            <w:r w:rsidRPr="0048701F">
              <w:rPr>
                <w:rFonts w:cs="Times New Roman" w:hint="eastAsia"/>
                <w:sz w:val="18"/>
                <w:szCs w:val="18"/>
              </w:rPr>
              <w:t>to</w:t>
            </w:r>
            <w:r w:rsidRPr="0048701F">
              <w:rPr>
                <w:rFonts w:cs="Times New Roman"/>
                <w:sz w:val="18"/>
                <w:szCs w:val="18"/>
              </w:rPr>
              <w:t xml:space="preserve"> be the same as the risk ratio of consuming fortified food</w:t>
            </w:r>
          </w:p>
        </w:tc>
      </w:tr>
      <w:tr w:rsidR="00792164" w14:paraId="30D055D2" w14:textId="77777777" w:rsidTr="009B7CB4">
        <w:trPr>
          <w:jc w:val="center"/>
        </w:trPr>
        <w:tc>
          <w:tcPr>
            <w:tcW w:w="2410" w:type="dxa"/>
            <w:vAlign w:val="center"/>
          </w:tcPr>
          <w:p w14:paraId="595E3ABE" w14:textId="77777777" w:rsidR="00792164" w:rsidRPr="000D0CE6" w:rsidRDefault="00792164" w:rsidP="009B7CB4">
            <w:pPr>
              <w:ind w:firstLineChars="0" w:firstLine="0"/>
              <w:jc w:val="left"/>
              <w:rPr>
                <w:rFonts w:cs="Times New Roman"/>
                <w:sz w:val="18"/>
                <w:szCs w:val="18"/>
              </w:rPr>
            </w:pPr>
            <w:r w:rsidRPr="000D0CE6">
              <w:rPr>
                <w:rFonts w:cs="Times New Roman"/>
                <w:sz w:val="18"/>
                <w:szCs w:val="18"/>
              </w:rPr>
              <w:t xml:space="preserve">Probability </w:t>
            </w:r>
            <w:r>
              <w:rPr>
                <w:rFonts w:cs="Times New Roman"/>
                <w:sz w:val="18"/>
                <w:szCs w:val="18"/>
              </w:rPr>
              <w:t>of persistent</w:t>
            </w:r>
            <w:r w:rsidRPr="000D0CE6">
              <w:rPr>
                <w:rFonts w:cs="Times New Roman"/>
                <w:sz w:val="18"/>
                <w:szCs w:val="18"/>
              </w:rPr>
              <w:t xml:space="preserve"> iron deficiency anemia when zinc intake &gt;UL for anemia patient</w:t>
            </w:r>
          </w:p>
        </w:tc>
        <w:tc>
          <w:tcPr>
            <w:tcW w:w="1413" w:type="dxa"/>
            <w:vAlign w:val="center"/>
          </w:tcPr>
          <w:p w14:paraId="0F006564" w14:textId="77777777" w:rsidR="00792164" w:rsidRPr="000D0CE6" w:rsidRDefault="00792164" w:rsidP="009B7CB4">
            <w:pPr>
              <w:ind w:firstLineChars="0" w:firstLine="0"/>
              <w:jc w:val="left"/>
              <w:rPr>
                <w:rFonts w:cs="Times New Roman"/>
                <w:sz w:val="18"/>
                <w:szCs w:val="18"/>
              </w:rPr>
            </w:pPr>
            <w:r w:rsidRPr="000D0CE6">
              <w:rPr>
                <w:rFonts w:cs="Times New Roman"/>
                <w:sz w:val="18"/>
                <w:szCs w:val="18"/>
              </w:rPr>
              <w:t>100%</w:t>
            </w:r>
          </w:p>
        </w:tc>
        <w:tc>
          <w:tcPr>
            <w:tcW w:w="1843" w:type="dxa"/>
            <w:vAlign w:val="center"/>
          </w:tcPr>
          <w:p w14:paraId="1D3E630E" w14:textId="77777777" w:rsidR="00792164" w:rsidRPr="00065254" w:rsidRDefault="00792164" w:rsidP="009B7CB4">
            <w:pPr>
              <w:ind w:firstLineChars="0" w:firstLine="0"/>
              <w:jc w:val="left"/>
              <w:rPr>
                <w:rFonts w:cs="Times New Roman"/>
                <w:sz w:val="18"/>
                <w:szCs w:val="18"/>
              </w:rPr>
            </w:pPr>
            <w:r w:rsidRPr="00065254">
              <w:rPr>
                <w:rFonts w:cs="Times New Roman"/>
                <w:sz w:val="18"/>
                <w:szCs w:val="18"/>
              </w:rPr>
              <w:t>-</w:t>
            </w:r>
          </w:p>
        </w:tc>
        <w:tc>
          <w:tcPr>
            <w:tcW w:w="851" w:type="dxa"/>
            <w:vAlign w:val="center"/>
          </w:tcPr>
          <w:p w14:paraId="7D6ACCA0" w14:textId="77777777" w:rsidR="00792164" w:rsidRPr="00065254" w:rsidRDefault="00792164" w:rsidP="009B7CB4">
            <w:pPr>
              <w:ind w:firstLineChars="0" w:firstLine="0"/>
              <w:jc w:val="left"/>
              <w:rPr>
                <w:rFonts w:cs="Times New Roman"/>
                <w:sz w:val="18"/>
                <w:szCs w:val="18"/>
              </w:rPr>
            </w:pPr>
            <w:r w:rsidRPr="00065254">
              <w:rPr>
                <w:rFonts w:cs="Times New Roman"/>
                <w:sz w:val="18"/>
                <w:szCs w:val="18"/>
              </w:rPr>
              <w:t>-</w:t>
            </w:r>
          </w:p>
        </w:tc>
        <w:tc>
          <w:tcPr>
            <w:tcW w:w="1275" w:type="dxa"/>
            <w:vAlign w:val="center"/>
          </w:tcPr>
          <w:p w14:paraId="05390D57"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1990" w:type="dxa"/>
            <w:vAlign w:val="center"/>
          </w:tcPr>
          <w:p w14:paraId="78C175C7" w14:textId="77777777" w:rsidR="00792164" w:rsidRDefault="00792164" w:rsidP="009B7CB4">
            <w:pPr>
              <w:ind w:firstLineChars="0" w:firstLine="0"/>
              <w:jc w:val="left"/>
              <w:rPr>
                <w:rFonts w:cs="Times New Roman"/>
                <w:sz w:val="18"/>
                <w:szCs w:val="18"/>
              </w:rPr>
            </w:pPr>
            <w:r>
              <w:rPr>
                <w:rFonts w:cs="Times New Roman"/>
                <w:sz w:val="18"/>
                <w:szCs w:val="18"/>
              </w:rPr>
              <w:t>Assumed by authors</w:t>
            </w:r>
          </w:p>
        </w:tc>
      </w:tr>
      <w:tr w:rsidR="00792164" w14:paraId="485AA8C0" w14:textId="77777777" w:rsidTr="009B7CB4">
        <w:trPr>
          <w:jc w:val="center"/>
        </w:trPr>
        <w:tc>
          <w:tcPr>
            <w:tcW w:w="2410" w:type="dxa"/>
            <w:vAlign w:val="center"/>
          </w:tcPr>
          <w:p w14:paraId="43791CF3" w14:textId="77777777" w:rsidR="00792164" w:rsidRDefault="00792164" w:rsidP="009B7CB4">
            <w:pPr>
              <w:ind w:firstLineChars="0" w:firstLine="0"/>
              <w:jc w:val="left"/>
              <w:rPr>
                <w:rFonts w:cs="Times New Roman"/>
                <w:sz w:val="18"/>
                <w:szCs w:val="18"/>
              </w:rPr>
            </w:pPr>
            <w:r>
              <w:rPr>
                <w:rFonts w:cs="Times New Roman"/>
                <w:sz w:val="18"/>
                <w:szCs w:val="18"/>
              </w:rPr>
              <w:t>Death rate</w:t>
            </w:r>
          </w:p>
        </w:tc>
        <w:tc>
          <w:tcPr>
            <w:tcW w:w="1413" w:type="dxa"/>
            <w:vAlign w:val="center"/>
          </w:tcPr>
          <w:p w14:paraId="185870F1" w14:textId="77777777" w:rsidR="00792164" w:rsidRDefault="00792164" w:rsidP="009B7CB4">
            <w:pPr>
              <w:ind w:firstLineChars="0" w:firstLine="0"/>
              <w:jc w:val="left"/>
              <w:rPr>
                <w:rFonts w:cs="Times New Roman"/>
                <w:sz w:val="18"/>
                <w:szCs w:val="18"/>
              </w:rPr>
            </w:pPr>
            <w:r>
              <w:rPr>
                <w:rFonts w:cs="Times New Roman"/>
                <w:sz w:val="18"/>
                <w:szCs w:val="18"/>
              </w:rPr>
              <w:t>Various</w:t>
            </w:r>
          </w:p>
        </w:tc>
        <w:tc>
          <w:tcPr>
            <w:tcW w:w="1843" w:type="dxa"/>
            <w:vAlign w:val="center"/>
          </w:tcPr>
          <w:p w14:paraId="13F19F27" w14:textId="77777777" w:rsidR="00792164" w:rsidRPr="00065254" w:rsidRDefault="00792164" w:rsidP="009B7CB4">
            <w:pPr>
              <w:ind w:firstLineChars="0" w:firstLine="0"/>
              <w:jc w:val="left"/>
              <w:rPr>
                <w:rFonts w:cs="Times New Roman"/>
                <w:sz w:val="18"/>
                <w:szCs w:val="18"/>
              </w:rPr>
            </w:pPr>
            <w:r w:rsidRPr="00065254">
              <w:rPr>
                <w:rFonts w:cs="Times New Roman"/>
                <w:sz w:val="18"/>
                <w:szCs w:val="18"/>
              </w:rPr>
              <w:t>Various</w:t>
            </w:r>
          </w:p>
        </w:tc>
        <w:tc>
          <w:tcPr>
            <w:tcW w:w="851" w:type="dxa"/>
            <w:vAlign w:val="center"/>
          </w:tcPr>
          <w:p w14:paraId="3773473A" w14:textId="77777777" w:rsidR="00792164" w:rsidRPr="00065254" w:rsidRDefault="00792164" w:rsidP="009B7CB4">
            <w:pPr>
              <w:ind w:firstLineChars="0" w:firstLine="0"/>
              <w:jc w:val="left"/>
              <w:rPr>
                <w:rFonts w:cs="Times New Roman"/>
                <w:sz w:val="18"/>
                <w:szCs w:val="18"/>
              </w:rPr>
            </w:pPr>
            <w:r w:rsidRPr="00065254">
              <w:rPr>
                <w:rFonts w:cs="Times New Roman"/>
                <w:sz w:val="18"/>
                <w:szCs w:val="18"/>
              </w:rPr>
              <w:t>Various</w:t>
            </w:r>
          </w:p>
        </w:tc>
        <w:tc>
          <w:tcPr>
            <w:tcW w:w="1275" w:type="dxa"/>
            <w:vAlign w:val="center"/>
          </w:tcPr>
          <w:p w14:paraId="5C804E6A"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1990" w:type="dxa"/>
            <w:vAlign w:val="center"/>
          </w:tcPr>
          <w:p w14:paraId="414D2A40" w14:textId="77777777" w:rsidR="00792164" w:rsidRDefault="00792164" w:rsidP="009B7CB4">
            <w:pPr>
              <w:ind w:firstLineChars="0" w:firstLine="0"/>
              <w:jc w:val="left"/>
              <w:rPr>
                <w:rFonts w:cs="Times New Roman"/>
                <w:sz w:val="18"/>
                <w:szCs w:val="18"/>
              </w:rPr>
            </w:pPr>
            <w:r>
              <w:rPr>
                <w:rFonts w:cs="Times New Roman"/>
                <w:sz w:val="18"/>
                <w:szCs w:val="18"/>
              </w:rPr>
              <w:fldChar w:fldCharType="begin" w:fldLock="1"/>
            </w:r>
            <w:r>
              <w:rPr>
                <w:rFonts w:cs="Times New Roman"/>
                <w:sz w:val="18"/>
                <w:szCs w:val="18"/>
              </w:rPr>
              <w:instrText>ADDIN CSL_CITATION {"citationItems":[{"id":"ITEM-1","itemData":{"author":[{"dropping-particle":"","family":"The States Council","given":"","non-dropping-particle":"","parse-names":false,"suffix":""}],"id":"ITEM-1","issued":{"date-parts":[["2021"]]},"number-of-pages":"66","publisher-place":"Beijing","title":"Major figures on 2020 population cencus of China","type":"report"},"uris":["http://www.mendeley.com/documents/?uuid=c5485d6c-2532-413e-9dcd-1637135e5d26"]}],"mendeley":{"formattedCitation":"(The States Council 2021)","manualFormatting":"The States Council, 2021","plainTextFormattedCitation":"(The States Council 2021)","previouslyFormattedCitation":"&lt;sup&gt;1&lt;/sup&gt;"},"properties":{"noteIndex":0},"schema":"https://github.com/citation-style-language/schema/raw/master/csl-citation.json"}</w:instrText>
            </w:r>
            <w:r>
              <w:rPr>
                <w:rFonts w:cs="Times New Roman"/>
                <w:sz w:val="18"/>
                <w:szCs w:val="18"/>
              </w:rPr>
              <w:fldChar w:fldCharType="separate"/>
            </w:r>
            <w:r w:rsidRPr="002646ED">
              <w:rPr>
                <w:rFonts w:cs="Times New Roman"/>
                <w:noProof/>
                <w:sz w:val="18"/>
                <w:szCs w:val="18"/>
              </w:rPr>
              <w:t>The States Council, 2021</w:t>
            </w:r>
            <w:r>
              <w:rPr>
                <w:rFonts w:cs="Times New Roman"/>
                <w:sz w:val="18"/>
                <w:szCs w:val="18"/>
              </w:rPr>
              <w:fldChar w:fldCharType="end"/>
            </w:r>
          </w:p>
        </w:tc>
      </w:tr>
      <w:tr w:rsidR="00792164" w14:paraId="0AB1BFFC" w14:textId="77777777" w:rsidTr="009B7CB4">
        <w:trPr>
          <w:jc w:val="center"/>
        </w:trPr>
        <w:tc>
          <w:tcPr>
            <w:tcW w:w="2410" w:type="dxa"/>
            <w:vAlign w:val="center"/>
          </w:tcPr>
          <w:p w14:paraId="59089CE0" w14:textId="77777777" w:rsidR="00792164" w:rsidRPr="0048701F" w:rsidRDefault="00792164" w:rsidP="009B7CB4">
            <w:pPr>
              <w:ind w:firstLineChars="0" w:firstLine="0"/>
              <w:jc w:val="left"/>
              <w:rPr>
                <w:rFonts w:cs="Times New Roman"/>
                <w:sz w:val="18"/>
                <w:szCs w:val="18"/>
              </w:rPr>
            </w:pPr>
            <w:r w:rsidRPr="0048701F">
              <w:rPr>
                <w:rFonts w:cs="Times New Roman"/>
                <w:sz w:val="18"/>
                <w:szCs w:val="18"/>
              </w:rPr>
              <w:t>The coverage rate of the intervention</w:t>
            </w:r>
          </w:p>
        </w:tc>
        <w:tc>
          <w:tcPr>
            <w:tcW w:w="1413" w:type="dxa"/>
            <w:vAlign w:val="center"/>
          </w:tcPr>
          <w:p w14:paraId="3A771006" w14:textId="77777777" w:rsidR="00792164" w:rsidRPr="0048701F" w:rsidRDefault="00792164" w:rsidP="009B7CB4">
            <w:pPr>
              <w:ind w:firstLineChars="0" w:firstLine="0"/>
              <w:jc w:val="left"/>
              <w:rPr>
                <w:rFonts w:cs="Times New Roman"/>
                <w:sz w:val="18"/>
                <w:szCs w:val="18"/>
              </w:rPr>
            </w:pPr>
            <w:r>
              <w:rPr>
                <w:rFonts w:cs="Times New Roman"/>
                <w:sz w:val="18"/>
                <w:szCs w:val="18"/>
              </w:rPr>
              <w:t>45</w:t>
            </w:r>
            <w:r w:rsidRPr="0048701F">
              <w:rPr>
                <w:rFonts w:cs="Times New Roman"/>
                <w:sz w:val="18"/>
                <w:szCs w:val="18"/>
              </w:rPr>
              <w:t>%</w:t>
            </w:r>
          </w:p>
        </w:tc>
        <w:tc>
          <w:tcPr>
            <w:tcW w:w="1843" w:type="dxa"/>
            <w:vAlign w:val="center"/>
          </w:tcPr>
          <w:p w14:paraId="04AE7712" w14:textId="77777777" w:rsidR="00792164" w:rsidRPr="00065254" w:rsidRDefault="00792164" w:rsidP="009B7CB4">
            <w:pPr>
              <w:ind w:firstLineChars="0" w:firstLine="0"/>
              <w:jc w:val="left"/>
              <w:rPr>
                <w:rFonts w:cs="Times New Roman"/>
                <w:sz w:val="18"/>
                <w:szCs w:val="18"/>
              </w:rPr>
            </w:pPr>
            <w:r>
              <w:rPr>
                <w:rFonts w:cs="Times New Roman"/>
                <w:sz w:val="18"/>
                <w:szCs w:val="18"/>
              </w:rPr>
              <w:t>30</w:t>
            </w:r>
            <w:r w:rsidRPr="00065254">
              <w:rPr>
                <w:rFonts w:cs="Times New Roman"/>
                <w:sz w:val="18"/>
                <w:szCs w:val="18"/>
              </w:rPr>
              <w:t xml:space="preserve">%, </w:t>
            </w:r>
            <w:r>
              <w:rPr>
                <w:rFonts w:cs="Times New Roman"/>
                <w:sz w:val="18"/>
                <w:szCs w:val="18"/>
              </w:rPr>
              <w:t>60</w:t>
            </w:r>
            <w:r w:rsidRPr="00065254">
              <w:rPr>
                <w:rFonts w:cs="Times New Roman"/>
                <w:sz w:val="18"/>
                <w:szCs w:val="18"/>
              </w:rPr>
              <w:t>%</w:t>
            </w:r>
          </w:p>
        </w:tc>
        <w:tc>
          <w:tcPr>
            <w:tcW w:w="851" w:type="dxa"/>
            <w:vAlign w:val="center"/>
          </w:tcPr>
          <w:p w14:paraId="341AAC8E" w14:textId="77777777" w:rsidR="00792164" w:rsidRPr="00065254" w:rsidRDefault="00792164" w:rsidP="009B7CB4">
            <w:pPr>
              <w:ind w:firstLineChars="0" w:firstLine="0"/>
              <w:jc w:val="left"/>
              <w:rPr>
                <w:rFonts w:cs="Times New Roman"/>
                <w:sz w:val="18"/>
                <w:szCs w:val="18"/>
              </w:rPr>
            </w:pPr>
            <w:r w:rsidRPr="00065254">
              <w:rPr>
                <w:rFonts w:cs="Times New Roman"/>
                <w:sz w:val="18"/>
                <w:szCs w:val="18"/>
              </w:rPr>
              <w:t>-</w:t>
            </w:r>
          </w:p>
        </w:tc>
        <w:tc>
          <w:tcPr>
            <w:tcW w:w="1275" w:type="dxa"/>
            <w:vAlign w:val="center"/>
          </w:tcPr>
          <w:p w14:paraId="7E5A9435"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1990" w:type="dxa"/>
            <w:vAlign w:val="center"/>
          </w:tcPr>
          <w:p w14:paraId="73F4A02C" w14:textId="77777777" w:rsidR="00792164" w:rsidRDefault="00792164" w:rsidP="009B7CB4">
            <w:pPr>
              <w:ind w:firstLineChars="0" w:firstLine="0"/>
              <w:jc w:val="left"/>
              <w:rPr>
                <w:rFonts w:cs="Times New Roman"/>
                <w:sz w:val="18"/>
                <w:szCs w:val="18"/>
              </w:rPr>
            </w:pPr>
            <w:r>
              <w:rPr>
                <w:rFonts w:cs="Times New Roman"/>
                <w:sz w:val="18"/>
                <w:szCs w:val="18"/>
              </w:rPr>
              <w:t>Assumed by authors</w:t>
            </w:r>
          </w:p>
        </w:tc>
      </w:tr>
      <w:tr w:rsidR="00792164" w14:paraId="53CE1980" w14:textId="77777777" w:rsidTr="009B7CB4">
        <w:trPr>
          <w:jc w:val="center"/>
        </w:trPr>
        <w:tc>
          <w:tcPr>
            <w:tcW w:w="2410" w:type="dxa"/>
            <w:vAlign w:val="center"/>
          </w:tcPr>
          <w:p w14:paraId="601ECDBC" w14:textId="77777777" w:rsidR="00792164" w:rsidRDefault="00792164" w:rsidP="009B7CB4">
            <w:pPr>
              <w:ind w:firstLineChars="0" w:firstLine="0"/>
              <w:jc w:val="left"/>
              <w:rPr>
                <w:rFonts w:cs="Times New Roman"/>
                <w:b/>
                <w:bCs/>
                <w:sz w:val="18"/>
                <w:szCs w:val="18"/>
              </w:rPr>
            </w:pPr>
            <w:r>
              <w:rPr>
                <w:rFonts w:cs="Times New Roman"/>
                <w:b/>
                <w:bCs/>
                <w:sz w:val="18"/>
                <w:szCs w:val="18"/>
              </w:rPr>
              <w:t>Efficacy</w:t>
            </w:r>
          </w:p>
        </w:tc>
        <w:tc>
          <w:tcPr>
            <w:tcW w:w="1413" w:type="dxa"/>
            <w:vAlign w:val="center"/>
          </w:tcPr>
          <w:p w14:paraId="18C77F10" w14:textId="77777777" w:rsidR="00792164" w:rsidRDefault="00792164" w:rsidP="009B7CB4">
            <w:pPr>
              <w:ind w:firstLineChars="0" w:firstLine="0"/>
              <w:jc w:val="left"/>
              <w:rPr>
                <w:rFonts w:cs="Times New Roman"/>
                <w:sz w:val="18"/>
                <w:szCs w:val="18"/>
              </w:rPr>
            </w:pPr>
          </w:p>
        </w:tc>
        <w:tc>
          <w:tcPr>
            <w:tcW w:w="1843" w:type="dxa"/>
            <w:vAlign w:val="center"/>
          </w:tcPr>
          <w:p w14:paraId="38625384" w14:textId="77777777" w:rsidR="00792164" w:rsidRDefault="00792164" w:rsidP="009B7CB4">
            <w:pPr>
              <w:ind w:firstLineChars="0" w:firstLine="0"/>
              <w:jc w:val="left"/>
              <w:rPr>
                <w:rFonts w:cs="Times New Roman"/>
                <w:sz w:val="18"/>
                <w:szCs w:val="18"/>
              </w:rPr>
            </w:pPr>
          </w:p>
        </w:tc>
        <w:tc>
          <w:tcPr>
            <w:tcW w:w="851" w:type="dxa"/>
            <w:vAlign w:val="center"/>
          </w:tcPr>
          <w:p w14:paraId="2F2ACC77" w14:textId="77777777" w:rsidR="00792164" w:rsidRPr="00DA255A" w:rsidRDefault="00792164" w:rsidP="009B7CB4">
            <w:pPr>
              <w:ind w:firstLineChars="0" w:firstLine="0"/>
              <w:jc w:val="left"/>
              <w:rPr>
                <w:rFonts w:cs="Times New Roman"/>
                <w:sz w:val="18"/>
                <w:szCs w:val="18"/>
                <w:highlight w:val="yellow"/>
              </w:rPr>
            </w:pPr>
          </w:p>
        </w:tc>
        <w:tc>
          <w:tcPr>
            <w:tcW w:w="1275" w:type="dxa"/>
            <w:vAlign w:val="center"/>
          </w:tcPr>
          <w:p w14:paraId="17F2BF15" w14:textId="77777777" w:rsidR="00792164" w:rsidRDefault="00792164" w:rsidP="009B7CB4">
            <w:pPr>
              <w:ind w:firstLineChars="0" w:firstLine="0"/>
              <w:jc w:val="left"/>
              <w:rPr>
                <w:rFonts w:cs="Times New Roman"/>
                <w:sz w:val="18"/>
                <w:szCs w:val="18"/>
              </w:rPr>
            </w:pPr>
          </w:p>
        </w:tc>
        <w:tc>
          <w:tcPr>
            <w:tcW w:w="1990" w:type="dxa"/>
            <w:vAlign w:val="center"/>
          </w:tcPr>
          <w:p w14:paraId="569957E7" w14:textId="77777777" w:rsidR="00792164" w:rsidRDefault="00792164" w:rsidP="009B7CB4">
            <w:pPr>
              <w:ind w:firstLineChars="0" w:firstLine="0"/>
              <w:jc w:val="left"/>
              <w:rPr>
                <w:rFonts w:cs="Times New Roman"/>
                <w:sz w:val="18"/>
                <w:szCs w:val="18"/>
              </w:rPr>
            </w:pPr>
          </w:p>
        </w:tc>
      </w:tr>
      <w:tr w:rsidR="00792164" w14:paraId="28246067" w14:textId="77777777" w:rsidTr="009B7CB4">
        <w:trPr>
          <w:jc w:val="center"/>
        </w:trPr>
        <w:tc>
          <w:tcPr>
            <w:tcW w:w="2410" w:type="dxa"/>
            <w:vAlign w:val="center"/>
          </w:tcPr>
          <w:p w14:paraId="24B52283" w14:textId="77777777" w:rsidR="00792164" w:rsidRDefault="00792164" w:rsidP="009B7CB4">
            <w:pPr>
              <w:ind w:firstLineChars="0" w:firstLine="0"/>
              <w:jc w:val="left"/>
              <w:rPr>
                <w:rFonts w:cs="Times New Roman"/>
                <w:sz w:val="18"/>
                <w:szCs w:val="18"/>
              </w:rPr>
            </w:pPr>
            <w:r>
              <w:rPr>
                <w:rFonts w:cs="Times New Roman"/>
                <w:sz w:val="18"/>
                <w:szCs w:val="18"/>
              </w:rPr>
              <w:t xml:space="preserve">Pneumonia RR risk (zinc supplement) </w:t>
            </w:r>
          </w:p>
        </w:tc>
        <w:tc>
          <w:tcPr>
            <w:tcW w:w="1413" w:type="dxa"/>
            <w:vAlign w:val="center"/>
          </w:tcPr>
          <w:p w14:paraId="53F9BB5A" w14:textId="77777777" w:rsidR="00792164" w:rsidRDefault="00792164" w:rsidP="009B7CB4">
            <w:pPr>
              <w:ind w:firstLineChars="0" w:firstLine="0"/>
              <w:jc w:val="left"/>
              <w:rPr>
                <w:rFonts w:cs="Times New Roman"/>
                <w:sz w:val="18"/>
                <w:szCs w:val="18"/>
              </w:rPr>
            </w:pPr>
            <w:r>
              <w:rPr>
                <w:rFonts w:cs="Times New Roman"/>
                <w:sz w:val="18"/>
                <w:szCs w:val="18"/>
              </w:rPr>
              <w:t>0.81</w:t>
            </w:r>
          </w:p>
        </w:tc>
        <w:tc>
          <w:tcPr>
            <w:tcW w:w="1843" w:type="dxa"/>
            <w:vAlign w:val="center"/>
          </w:tcPr>
          <w:p w14:paraId="2E955BA4" w14:textId="77777777" w:rsidR="00792164" w:rsidRDefault="00792164" w:rsidP="009B7CB4">
            <w:pPr>
              <w:ind w:firstLineChars="0" w:firstLine="0"/>
              <w:jc w:val="left"/>
              <w:rPr>
                <w:rFonts w:cs="Times New Roman"/>
                <w:sz w:val="18"/>
                <w:szCs w:val="18"/>
              </w:rPr>
            </w:pPr>
            <w:r>
              <w:rPr>
                <w:rFonts w:cs="Times New Roman"/>
                <w:sz w:val="18"/>
                <w:szCs w:val="18"/>
              </w:rPr>
              <w:t>0.6, 0.9</w:t>
            </w:r>
          </w:p>
        </w:tc>
        <w:tc>
          <w:tcPr>
            <w:tcW w:w="851" w:type="dxa"/>
            <w:shd w:val="clear" w:color="auto" w:fill="auto"/>
            <w:vAlign w:val="center"/>
          </w:tcPr>
          <w:p w14:paraId="32E9644B" w14:textId="77777777" w:rsidR="00792164" w:rsidRPr="00065254" w:rsidRDefault="00792164" w:rsidP="009B7CB4">
            <w:pPr>
              <w:ind w:firstLineChars="0" w:firstLine="0"/>
              <w:jc w:val="left"/>
              <w:rPr>
                <w:rFonts w:cs="Times New Roman"/>
                <w:sz w:val="18"/>
                <w:szCs w:val="18"/>
              </w:rPr>
            </w:pPr>
            <w:r w:rsidRPr="00065254">
              <w:rPr>
                <w:rFonts w:cs="Times New Roman"/>
                <w:sz w:val="18"/>
                <w:szCs w:val="18"/>
              </w:rPr>
              <w:t>0.</w:t>
            </w:r>
            <w:r>
              <w:rPr>
                <w:rFonts w:cs="Times New Roman"/>
                <w:sz w:val="18"/>
                <w:szCs w:val="18"/>
              </w:rPr>
              <w:t>05</w:t>
            </w:r>
          </w:p>
        </w:tc>
        <w:tc>
          <w:tcPr>
            <w:tcW w:w="1275" w:type="dxa"/>
            <w:vAlign w:val="center"/>
          </w:tcPr>
          <w:p w14:paraId="3EB95030" w14:textId="77777777" w:rsidR="00792164" w:rsidRDefault="00792164" w:rsidP="009B7CB4">
            <w:pPr>
              <w:ind w:firstLineChars="0" w:firstLine="0"/>
              <w:jc w:val="left"/>
              <w:rPr>
                <w:rFonts w:cs="Times New Roman"/>
                <w:sz w:val="18"/>
                <w:szCs w:val="18"/>
              </w:rPr>
            </w:pPr>
            <w:r>
              <w:rPr>
                <w:rFonts w:cs="Times New Roman"/>
                <w:sz w:val="18"/>
                <w:szCs w:val="18"/>
              </w:rPr>
              <w:t>β</w:t>
            </w:r>
          </w:p>
        </w:tc>
        <w:tc>
          <w:tcPr>
            <w:tcW w:w="1990" w:type="dxa"/>
            <w:vAlign w:val="center"/>
          </w:tcPr>
          <w:p w14:paraId="66460B17" w14:textId="77777777" w:rsidR="00792164" w:rsidRDefault="00792164" w:rsidP="009B7CB4">
            <w:pPr>
              <w:ind w:firstLineChars="0" w:firstLine="0"/>
              <w:jc w:val="left"/>
              <w:rPr>
                <w:rFonts w:cs="Times New Roman"/>
                <w:sz w:val="18"/>
                <w:szCs w:val="18"/>
              </w:rPr>
            </w:pPr>
            <w:r>
              <w:rPr>
                <w:rFonts w:cs="Times New Roman"/>
                <w:sz w:val="18"/>
                <w:szCs w:val="18"/>
              </w:rPr>
              <w:fldChar w:fldCharType="begin" w:fldLock="1"/>
            </w:r>
            <w:r>
              <w:rPr>
                <w:rFonts w:cs="Times New Roman"/>
                <w:sz w:val="18"/>
                <w:szCs w:val="18"/>
              </w:rPr>
              <w:instrText>ADDIN CSL_CITATION {"citationItems":[{"id":"ITEM-1","itemData":{"ISSN":"1471-2458","author":[{"dropping-particle":"","family":"Yakoob","given":"Mohammad Yawar","non-dropping-particle":"","parse-names":false,"suffix":""},{"dropping-particle":"","family":"Theodoratou","given":"Evropi","non-dropping-particle":"","parse-names":false,"suffix":""},{"dropping-particle":"","family":"Jabeen","given":"Afshan","non-dropping-particle":"","parse-names":false,"suffix":""},{"dropping-particle":"","family":"Imdad","given":"Aamer","non-dropping-particle":"","parse-names":false,"suffix":""},{"dropping-particle":"","family":"Eisele","given":"Thomas P","non-dropping-particle":"","parse-names":false,"suffix":""},{"dropping-particle":"","family":"Ferguson","given":"Joy","non-dropping-particle":"","parse-names":false,"suffix":""},{"dropping-particle":"","family":"Jhass","given":"Arnoupe","non-dropping-particle":"","parse-names":false,"suffix":""},{"dropping-particle":"","family":"Rudan","given":"Igor","non-dropping-particle":"","parse-names":false,"suffix":""},{"dropping-particle":"","family":"Campbell","given":"Harry","non-dropping-particle":"","parse-names":false,"suffix":""},{"dropping-particle":"","family":"Black","given":"Robert E","non-dropping-particle":"","parse-names":false,"suffix":""}],"container-title":"BMC Public health","id":"ITEM-1","issue":"3","issued":{"date-parts":[["2011"]]},"page":"1-10","publisher":"BioMed Central","title":"Preventive zinc supplementation in developing countries: impact on mortality and morbidity due to diarrhea, pneumonia and malaria","type":"article-journal","volume":"11"},"uris":["http://www.mendeley.com/documents/?uuid=20a9ab95-66f3-41e4-8831-641477955686"]}],"mendeley":{"formattedCitation":"(Yakoob et al. 2011)","manualFormatting":"Yakoob et al., 2011","plainTextFormattedCitation":"(Yakoob et al. 2011)","previouslyFormattedCitation":"&lt;sup&gt;8&lt;/sup&gt;"},"properties":{"noteIndex":0},"schema":"https://github.com/citation-style-language/schema/raw/master/csl-citation.json"}</w:instrText>
            </w:r>
            <w:r>
              <w:rPr>
                <w:rFonts w:cs="Times New Roman"/>
                <w:sz w:val="18"/>
                <w:szCs w:val="18"/>
              </w:rPr>
              <w:fldChar w:fldCharType="separate"/>
            </w:r>
            <w:r>
              <w:rPr>
                <w:rFonts w:cs="Times New Roman"/>
                <w:noProof/>
                <w:sz w:val="18"/>
                <w:szCs w:val="18"/>
              </w:rPr>
              <w:t>Yakoob et al., 2011</w:t>
            </w:r>
            <w:r>
              <w:rPr>
                <w:rFonts w:cs="Times New Roman"/>
                <w:sz w:val="18"/>
                <w:szCs w:val="18"/>
              </w:rPr>
              <w:fldChar w:fldCharType="end"/>
            </w:r>
          </w:p>
        </w:tc>
      </w:tr>
      <w:tr w:rsidR="00792164" w14:paraId="49FFDA85" w14:textId="77777777" w:rsidTr="009B7CB4">
        <w:trPr>
          <w:jc w:val="center"/>
        </w:trPr>
        <w:tc>
          <w:tcPr>
            <w:tcW w:w="2410" w:type="dxa"/>
            <w:vAlign w:val="center"/>
          </w:tcPr>
          <w:p w14:paraId="16930A3D" w14:textId="77777777" w:rsidR="00792164" w:rsidRDefault="00792164" w:rsidP="009B7CB4">
            <w:pPr>
              <w:ind w:firstLineChars="0" w:firstLine="0"/>
              <w:jc w:val="left"/>
              <w:rPr>
                <w:rFonts w:cs="Times New Roman"/>
                <w:sz w:val="18"/>
                <w:szCs w:val="18"/>
              </w:rPr>
            </w:pPr>
            <w:r>
              <w:rPr>
                <w:rFonts w:cs="Times New Roman"/>
                <w:sz w:val="18"/>
                <w:szCs w:val="18"/>
              </w:rPr>
              <w:t>Pneumonia RR risk (food fortification)</w:t>
            </w:r>
          </w:p>
        </w:tc>
        <w:tc>
          <w:tcPr>
            <w:tcW w:w="1413" w:type="dxa"/>
            <w:vAlign w:val="center"/>
          </w:tcPr>
          <w:p w14:paraId="21FC9031" w14:textId="77777777" w:rsidR="00792164" w:rsidRDefault="00792164" w:rsidP="009B7CB4">
            <w:pPr>
              <w:ind w:firstLineChars="0" w:firstLine="0"/>
              <w:jc w:val="left"/>
              <w:rPr>
                <w:rFonts w:cs="Times New Roman"/>
                <w:sz w:val="18"/>
                <w:szCs w:val="18"/>
              </w:rPr>
            </w:pPr>
            <w:r>
              <w:rPr>
                <w:rFonts w:cs="Times New Roman"/>
                <w:sz w:val="18"/>
                <w:szCs w:val="18"/>
              </w:rPr>
              <w:t>0.81</w:t>
            </w:r>
          </w:p>
        </w:tc>
        <w:tc>
          <w:tcPr>
            <w:tcW w:w="1843" w:type="dxa"/>
            <w:vAlign w:val="center"/>
          </w:tcPr>
          <w:p w14:paraId="71346CF5" w14:textId="77777777" w:rsidR="00792164" w:rsidRDefault="00792164" w:rsidP="009B7CB4">
            <w:pPr>
              <w:ind w:firstLineChars="0" w:firstLine="0"/>
              <w:jc w:val="left"/>
              <w:rPr>
                <w:rFonts w:cs="Times New Roman"/>
                <w:sz w:val="18"/>
                <w:szCs w:val="18"/>
              </w:rPr>
            </w:pPr>
            <w:r>
              <w:rPr>
                <w:rFonts w:cs="Times New Roman"/>
                <w:sz w:val="18"/>
                <w:szCs w:val="18"/>
              </w:rPr>
              <w:t>0.6, 0.9</w:t>
            </w:r>
          </w:p>
        </w:tc>
        <w:tc>
          <w:tcPr>
            <w:tcW w:w="851" w:type="dxa"/>
            <w:shd w:val="clear" w:color="auto" w:fill="auto"/>
            <w:vAlign w:val="center"/>
          </w:tcPr>
          <w:p w14:paraId="0344E5F3" w14:textId="77777777" w:rsidR="00792164" w:rsidRPr="00065254" w:rsidRDefault="00792164" w:rsidP="009B7CB4">
            <w:pPr>
              <w:ind w:firstLineChars="0" w:firstLine="0"/>
              <w:jc w:val="left"/>
              <w:rPr>
                <w:rFonts w:cs="Times New Roman"/>
                <w:sz w:val="18"/>
                <w:szCs w:val="18"/>
              </w:rPr>
            </w:pPr>
            <w:r w:rsidRPr="00065254">
              <w:rPr>
                <w:rFonts w:cs="Times New Roman"/>
                <w:sz w:val="18"/>
                <w:szCs w:val="18"/>
              </w:rPr>
              <w:t>0.</w:t>
            </w:r>
            <w:r>
              <w:rPr>
                <w:rFonts w:cs="Times New Roman"/>
                <w:sz w:val="18"/>
                <w:szCs w:val="18"/>
              </w:rPr>
              <w:t>04</w:t>
            </w:r>
          </w:p>
        </w:tc>
        <w:tc>
          <w:tcPr>
            <w:tcW w:w="1275" w:type="dxa"/>
            <w:vAlign w:val="center"/>
          </w:tcPr>
          <w:p w14:paraId="053640F8" w14:textId="77777777" w:rsidR="00792164" w:rsidRDefault="00792164" w:rsidP="009B7CB4">
            <w:pPr>
              <w:ind w:firstLineChars="0" w:firstLine="0"/>
              <w:jc w:val="left"/>
              <w:rPr>
                <w:rFonts w:cs="Times New Roman"/>
                <w:sz w:val="18"/>
                <w:szCs w:val="18"/>
              </w:rPr>
            </w:pPr>
            <w:r>
              <w:rPr>
                <w:rFonts w:cs="Times New Roman"/>
                <w:sz w:val="18"/>
                <w:szCs w:val="18"/>
              </w:rPr>
              <w:t>β</w:t>
            </w:r>
          </w:p>
        </w:tc>
        <w:tc>
          <w:tcPr>
            <w:tcW w:w="1990" w:type="dxa"/>
            <w:vAlign w:val="center"/>
          </w:tcPr>
          <w:p w14:paraId="0D672B96" w14:textId="77777777" w:rsidR="00792164" w:rsidRDefault="00792164" w:rsidP="009B7CB4">
            <w:pPr>
              <w:ind w:firstLineChars="0" w:firstLine="0"/>
              <w:jc w:val="left"/>
              <w:rPr>
                <w:rFonts w:cs="Times New Roman"/>
                <w:sz w:val="18"/>
                <w:szCs w:val="18"/>
              </w:rPr>
            </w:pPr>
            <w:r>
              <w:rPr>
                <w:rFonts w:cs="Times New Roman"/>
                <w:sz w:val="18"/>
                <w:szCs w:val="18"/>
              </w:rPr>
              <w:fldChar w:fldCharType="begin" w:fldLock="1"/>
            </w:r>
            <w:r>
              <w:rPr>
                <w:rFonts w:cs="Times New Roman"/>
                <w:sz w:val="18"/>
                <w:szCs w:val="18"/>
              </w:rPr>
              <w:instrText>ADDIN CSL_CITATION {"citationItems":[{"id":"ITEM-1","itemData":{"ISSN":"1471-2458","author":[{"dropping-particle":"","family":"Yakoob","given":"Mohammad Yawar","non-dropping-particle":"","parse-names":false,"suffix":""},{"dropping-particle":"","family":"Theodoratou","given":"Evropi","non-dropping-particle":"","parse-names":false,"suffix":""},{"dropping-particle":"","family":"Jabeen","given":"Afshan","non-dropping-particle":"","parse-names":false,"suffix":""},{"dropping-particle":"","family":"Imdad","given":"Aamer","non-dropping-particle":"","parse-names":false,"suffix":""},{"dropping-particle":"","family":"Eisele","given":"Thomas P","non-dropping-particle":"","parse-names":false,"suffix":""},{"dropping-particle":"","family":"Ferguson","given":"Joy","non-dropping-particle":"","parse-names":false,"suffix":""},{"dropping-particle":"","family":"Jhass","given":"Arnoupe","non-dropping-particle":"","parse-names":false,"suffix":""},{"dropping-particle":"","family":"Rudan","given":"Igor","non-dropping-particle":"","parse-names":false,"suffix":""},{"dropping-particle":"","family":"Campbell","given":"Harry","non-dropping-particle":"","parse-names":false,"suffix":""},{"dropping-particle":"","family":"Black","given":"Robert E","non-dropping-particle":"","parse-names":false,"suffix":""}],"container-title":"BMC Public health","id":"ITEM-1","issue":"3","issued":{"date-parts":[["2011"]]},"page":"1-10","publisher":"BioMed Central","title":"Preventive zinc supplementation in developing countries: impact on mortality and morbidity due to diarrhea, pneumonia and malaria","type":"article-journal","volume":"11"},"uris":["http://www.mendeley.com/documents/?uuid=20a9ab95-66f3-41e4-8831-641477955686"]}],"mendeley":{"formattedCitation":"(Yakoob et al. 2011)","manualFormatting":"Yakoob et al., 2011","plainTextFormattedCitation":"(Yakoob et al. 2011)","previouslyFormattedCitation":"&lt;sup&gt;8&lt;/sup&gt;"},"properties":{"noteIndex":0},"schema":"https://github.com/citation-style-language/schema/raw/master/csl-citation.json"}</w:instrText>
            </w:r>
            <w:r>
              <w:rPr>
                <w:rFonts w:cs="Times New Roman"/>
                <w:sz w:val="18"/>
                <w:szCs w:val="18"/>
              </w:rPr>
              <w:fldChar w:fldCharType="separate"/>
            </w:r>
            <w:r>
              <w:rPr>
                <w:rFonts w:cs="Times New Roman"/>
                <w:noProof/>
                <w:sz w:val="18"/>
                <w:szCs w:val="18"/>
              </w:rPr>
              <w:t>Yakoob et al., 2011</w:t>
            </w:r>
            <w:r>
              <w:rPr>
                <w:rFonts w:cs="Times New Roman"/>
                <w:sz w:val="18"/>
                <w:szCs w:val="18"/>
              </w:rPr>
              <w:fldChar w:fldCharType="end"/>
            </w:r>
          </w:p>
        </w:tc>
      </w:tr>
      <w:tr w:rsidR="00792164" w14:paraId="575B99FC" w14:textId="77777777" w:rsidTr="009B7CB4">
        <w:trPr>
          <w:jc w:val="center"/>
        </w:trPr>
        <w:tc>
          <w:tcPr>
            <w:tcW w:w="2410" w:type="dxa"/>
            <w:vAlign w:val="center"/>
          </w:tcPr>
          <w:p w14:paraId="776F0461" w14:textId="77777777" w:rsidR="00792164" w:rsidRDefault="00792164" w:rsidP="009B7CB4">
            <w:pPr>
              <w:ind w:firstLineChars="0" w:firstLine="0"/>
              <w:jc w:val="left"/>
              <w:rPr>
                <w:rFonts w:cs="Times New Roman"/>
                <w:sz w:val="18"/>
                <w:szCs w:val="18"/>
              </w:rPr>
            </w:pPr>
            <w:r>
              <w:rPr>
                <w:rFonts w:cs="Times New Roman"/>
                <w:sz w:val="18"/>
                <w:szCs w:val="18"/>
              </w:rPr>
              <w:t>Pneumonia RR risk (biofortification with breeding)</w:t>
            </w:r>
          </w:p>
        </w:tc>
        <w:tc>
          <w:tcPr>
            <w:tcW w:w="1413" w:type="dxa"/>
            <w:vAlign w:val="center"/>
          </w:tcPr>
          <w:p w14:paraId="79080082" w14:textId="77777777" w:rsidR="00792164" w:rsidRDefault="00792164" w:rsidP="009B7CB4">
            <w:pPr>
              <w:ind w:firstLineChars="0" w:firstLine="0"/>
              <w:jc w:val="left"/>
              <w:rPr>
                <w:rFonts w:cs="Times New Roman"/>
                <w:sz w:val="18"/>
                <w:szCs w:val="18"/>
              </w:rPr>
            </w:pPr>
            <w:r>
              <w:rPr>
                <w:rFonts w:cs="Times New Roman"/>
                <w:sz w:val="18"/>
                <w:szCs w:val="18"/>
              </w:rPr>
              <w:t>0.83</w:t>
            </w:r>
          </w:p>
        </w:tc>
        <w:tc>
          <w:tcPr>
            <w:tcW w:w="1843" w:type="dxa"/>
            <w:vAlign w:val="center"/>
          </w:tcPr>
          <w:p w14:paraId="4308846C" w14:textId="77777777" w:rsidR="00792164" w:rsidRDefault="00792164" w:rsidP="009B7CB4">
            <w:pPr>
              <w:ind w:firstLineChars="0" w:firstLine="0"/>
              <w:jc w:val="left"/>
              <w:rPr>
                <w:rFonts w:cs="Times New Roman"/>
                <w:sz w:val="18"/>
                <w:szCs w:val="18"/>
              </w:rPr>
            </w:pPr>
            <w:r>
              <w:rPr>
                <w:rFonts w:cs="Times New Roman"/>
                <w:sz w:val="18"/>
                <w:szCs w:val="18"/>
              </w:rPr>
              <w:t>0.6, 0.9</w:t>
            </w:r>
          </w:p>
        </w:tc>
        <w:tc>
          <w:tcPr>
            <w:tcW w:w="851" w:type="dxa"/>
            <w:shd w:val="clear" w:color="auto" w:fill="auto"/>
            <w:vAlign w:val="center"/>
          </w:tcPr>
          <w:p w14:paraId="38CCED30" w14:textId="77777777" w:rsidR="00792164" w:rsidRPr="00065254" w:rsidRDefault="00792164" w:rsidP="009B7CB4">
            <w:pPr>
              <w:ind w:firstLineChars="0" w:firstLine="0"/>
              <w:jc w:val="left"/>
              <w:rPr>
                <w:rFonts w:cs="Times New Roman"/>
                <w:sz w:val="18"/>
                <w:szCs w:val="18"/>
              </w:rPr>
            </w:pPr>
            <w:r w:rsidRPr="00065254">
              <w:rPr>
                <w:rFonts w:cs="Times New Roman"/>
                <w:sz w:val="18"/>
                <w:szCs w:val="18"/>
              </w:rPr>
              <w:t>0.</w:t>
            </w:r>
            <w:r>
              <w:rPr>
                <w:rFonts w:cs="Times New Roman"/>
                <w:sz w:val="18"/>
                <w:szCs w:val="18"/>
              </w:rPr>
              <w:t>02</w:t>
            </w:r>
          </w:p>
        </w:tc>
        <w:tc>
          <w:tcPr>
            <w:tcW w:w="1275" w:type="dxa"/>
            <w:vAlign w:val="center"/>
          </w:tcPr>
          <w:p w14:paraId="28B42EFE" w14:textId="77777777" w:rsidR="00792164" w:rsidRDefault="00792164" w:rsidP="009B7CB4">
            <w:pPr>
              <w:ind w:firstLineChars="0" w:firstLine="0"/>
              <w:jc w:val="left"/>
              <w:rPr>
                <w:rFonts w:cs="Times New Roman"/>
                <w:sz w:val="18"/>
                <w:szCs w:val="18"/>
              </w:rPr>
            </w:pPr>
            <w:r>
              <w:rPr>
                <w:rFonts w:cs="Times New Roman"/>
                <w:sz w:val="18"/>
                <w:szCs w:val="18"/>
              </w:rPr>
              <w:t>β</w:t>
            </w:r>
          </w:p>
        </w:tc>
        <w:tc>
          <w:tcPr>
            <w:tcW w:w="1990" w:type="dxa"/>
            <w:vAlign w:val="center"/>
          </w:tcPr>
          <w:p w14:paraId="237B96F9" w14:textId="77777777" w:rsidR="00792164" w:rsidRDefault="00792164" w:rsidP="009B7CB4">
            <w:pPr>
              <w:ind w:firstLineChars="0" w:firstLine="0"/>
              <w:jc w:val="left"/>
              <w:rPr>
                <w:rFonts w:cs="Times New Roman"/>
                <w:sz w:val="18"/>
                <w:szCs w:val="18"/>
              </w:rPr>
            </w:pPr>
            <w:r>
              <w:rPr>
                <w:rFonts w:cs="Times New Roman"/>
                <w:sz w:val="18"/>
                <w:szCs w:val="18"/>
              </w:rPr>
              <w:fldChar w:fldCharType="begin" w:fldLock="1"/>
            </w:r>
            <w:r>
              <w:rPr>
                <w:rFonts w:cs="Times New Roman"/>
                <w:sz w:val="18"/>
                <w:szCs w:val="18"/>
              </w:rPr>
              <w:instrText xml:space="preserve">ADDIN CSL_CITATION {"citationItems":[{"id":"ITEM-1","itemData":{"DOI":"10.1186/s12937-018-0391-5","ISSN":"14752891","PMID":"30219062","abstract":"Background: Biofortification of staple food crops with zinc (Zn) can be one of the cost-effective and sustainable strategies to combat zinc deficiency and prevent morbidity among the target population. Agronomic approaches such as application of Zn fertilizers to soil and/or foliar spray seem to be a practical tool for Zn biofortification of wheat. However, there is a need to evaluate its efficacy from randomized controlled trials. This study aimed to evaluate the efficacy of zinc biofortified wheat flour on zinc status and its impact on morbidity among children aged 4-6 years and non-pregnant non lactating woman of child bearing age (WCBA) in Delhi, India. Methods: In a community based, double-masked randomized controlled trial, 6005 participants (WCBA and child pairs) were enrolled and randomly allocated to receive either high zinc biofortified wheat flour (HZn, 30 ppm zinc daily) or low zinc biofortified wheat flour (LZn, 20 ppm zinc daily) for 6 months (WCBA @ 360 g/day and children @ 120 g/day). Baseline and endline blood samples were obtained for assessing hematological markers; zinc status and data on compliance and morbidity were collected. Results: Compliance rates were high; </w:instrText>
            </w:r>
            <w:r>
              <w:rPr>
                <w:rFonts w:ascii="Cambria Math" w:hAnsi="Cambria Math" w:cs="Cambria Math"/>
                <w:sz w:val="18"/>
                <w:szCs w:val="18"/>
              </w:rPr>
              <w:instrText>∼</w:instrText>
            </w:r>
            <w:r>
              <w:rPr>
                <w:rFonts w:cs="Times New Roman"/>
                <w:sz w:val="18"/>
                <w:szCs w:val="18"/>
              </w:rPr>
              <w:instrText xml:space="preserve"> 88% of the WCBAs in both the groups consumed 50% or more of recommended amount of biofortfied wheat flour during the follow up. Similarly 86.9% children in HZn and 87.5% in LZn consumed 50% or more of recommended wheat flour intake. There was no significant difference in mean zinc levels between the groups at end study. This observation might be due to a marginal difference in zinc content (10 ppm) between the HZn and LZn wheat flour, and a short intervention period. However a positive impact of bio-fortification on self-reported morbidity was observed. Compared to children in LZn group, children in HZn group had 17% (95% CI: 6 to 31%, p = 0.05) and 40% (95% CI: 16 to 57%; p = 0.0019) reduction in days with pneumonia and vomiting respectively. WCBA in the HZn group also showed a statistically significant 9% fewer days with fever compared to LZn group. Conclusions: Biofortified wheat flour had a good compliance among children and WCBAs. Significant improvement on some of the self-reported morbidity indicators suggests that evaluating longer-term effects of biofortification with higher grain zinc content would be more appropriate. Trial registration: http://ctri.nic.in/Clinicaltrials/, CTRI/2014/04/004527, Registered April 7, 2014.","author":[{"dropping-particle":"","family":"Sazawal","given":"Sunil","non-dropping-particle":"","parse-names":false,"suffix":""},{"dropping-particle":"","family":"Dhingra","given":"Usha","non-dropping-particle":"","parse-names":false,"suffix":""},{"dropping-particle":"","family":"Dhingra","given":"Pratibha","non-dropping-particle":"","parse-names":false,"suffix":""},{"dropping-particle":"","family":"Dutta","given":"Arup","non-dropping-particle":"","parse-names":false,"suffix":""},{"dropping-particle":"","family":"Deb","given":"Saikat","non-dropping-particle":"","parse-names":false,"suffix":""},{"dropping-particle":"","family":"Kumar","given":"Jitendra","non-dropping-particle":"","parse-names":false,"suffix":""},{"dropping-particle":"","family":"Devi","given":"Prabhabati","non-dropping-particle":"","parse-names":false,"suffix":""},{"dropping-particle":"","family":"Prakash","given":"Ashish","non-dropping-particle":"","parse-names":false,"suffix":""}],"container-title":"Nutrition Journal","id":"ITEM-1","issued":{"date-parts":[["2018"]]},"page":"86","publisher":"Nutrition Journal","title":"Efficacy of high zinc biofortified wheat in improvement of micronutrient status, and prevention of morbidity among preschool children and women - A double masked, randomized, controlled trial 11 Medical and Health Sciences 1117 Public Health and Health Se","type":"article-journal","volume":"17"},"uris":["http://www.mendeley.com/documents/?uuid=8921160c-7053-433e-9715-bab689dbb674"]}],"mendeley":{"formattedCitation":"(Sazawal et al. 2018)","manualFormatting":"Sazawal et al., 2018","plainTextFormattedCitation":"(Sazawal et al. 2018)","previouslyFormattedCitation":"&lt;sup&gt;9&lt;/sup&gt;"},"properties":{"noteIndex":0},"schema":"https://github.com/citation-style-language/schema/raw/master/csl-citation.json"}</w:instrText>
            </w:r>
            <w:r>
              <w:rPr>
                <w:rFonts w:cs="Times New Roman"/>
                <w:sz w:val="18"/>
                <w:szCs w:val="18"/>
              </w:rPr>
              <w:fldChar w:fldCharType="separate"/>
            </w:r>
            <w:r>
              <w:rPr>
                <w:rFonts w:cs="Times New Roman"/>
                <w:noProof/>
                <w:sz w:val="18"/>
                <w:szCs w:val="18"/>
              </w:rPr>
              <w:t>Sazawal et al., 2018</w:t>
            </w:r>
            <w:r>
              <w:rPr>
                <w:rFonts w:cs="Times New Roman"/>
                <w:sz w:val="18"/>
                <w:szCs w:val="18"/>
              </w:rPr>
              <w:fldChar w:fldCharType="end"/>
            </w:r>
          </w:p>
        </w:tc>
      </w:tr>
      <w:tr w:rsidR="00792164" w14:paraId="0880EDDA" w14:textId="77777777" w:rsidTr="009B7CB4">
        <w:trPr>
          <w:jc w:val="center"/>
        </w:trPr>
        <w:tc>
          <w:tcPr>
            <w:tcW w:w="2410" w:type="dxa"/>
            <w:vAlign w:val="center"/>
          </w:tcPr>
          <w:p w14:paraId="702F35FB" w14:textId="77777777" w:rsidR="00792164" w:rsidRDefault="00792164" w:rsidP="009B7CB4">
            <w:pPr>
              <w:ind w:firstLineChars="0" w:firstLine="0"/>
              <w:jc w:val="left"/>
              <w:rPr>
                <w:rFonts w:cs="Times New Roman"/>
                <w:sz w:val="18"/>
                <w:szCs w:val="18"/>
              </w:rPr>
            </w:pPr>
            <w:r>
              <w:rPr>
                <w:rFonts w:cs="Times New Roman"/>
                <w:sz w:val="18"/>
                <w:szCs w:val="18"/>
              </w:rPr>
              <w:t>Pneumonia RR risk (biofortification with zinc fertilizer)</w:t>
            </w:r>
          </w:p>
        </w:tc>
        <w:tc>
          <w:tcPr>
            <w:tcW w:w="1413" w:type="dxa"/>
            <w:vAlign w:val="center"/>
          </w:tcPr>
          <w:p w14:paraId="5E36CB6D" w14:textId="77777777" w:rsidR="00792164" w:rsidRDefault="00792164" w:rsidP="009B7CB4">
            <w:pPr>
              <w:ind w:firstLineChars="0" w:firstLine="0"/>
              <w:jc w:val="left"/>
              <w:rPr>
                <w:rFonts w:cs="Times New Roman"/>
                <w:sz w:val="18"/>
                <w:szCs w:val="18"/>
              </w:rPr>
            </w:pPr>
            <w:r>
              <w:rPr>
                <w:rFonts w:cs="Times New Roman"/>
                <w:sz w:val="18"/>
                <w:szCs w:val="18"/>
              </w:rPr>
              <w:t>0.83</w:t>
            </w:r>
          </w:p>
        </w:tc>
        <w:tc>
          <w:tcPr>
            <w:tcW w:w="1843" w:type="dxa"/>
            <w:vAlign w:val="center"/>
          </w:tcPr>
          <w:p w14:paraId="77270E81" w14:textId="77777777" w:rsidR="00792164" w:rsidRDefault="00792164" w:rsidP="009B7CB4">
            <w:pPr>
              <w:ind w:firstLineChars="0" w:firstLine="0"/>
              <w:jc w:val="left"/>
              <w:rPr>
                <w:rFonts w:cs="Times New Roman"/>
                <w:sz w:val="18"/>
                <w:szCs w:val="18"/>
              </w:rPr>
            </w:pPr>
            <w:r>
              <w:rPr>
                <w:rFonts w:cs="Times New Roman"/>
                <w:sz w:val="18"/>
                <w:szCs w:val="18"/>
              </w:rPr>
              <w:t>0.6, 0.9</w:t>
            </w:r>
          </w:p>
        </w:tc>
        <w:tc>
          <w:tcPr>
            <w:tcW w:w="851" w:type="dxa"/>
            <w:vAlign w:val="center"/>
          </w:tcPr>
          <w:p w14:paraId="30645902" w14:textId="77777777" w:rsidR="00792164" w:rsidRPr="00DA255A" w:rsidRDefault="00792164" w:rsidP="009B7CB4">
            <w:pPr>
              <w:ind w:firstLineChars="0" w:firstLine="0"/>
              <w:jc w:val="left"/>
              <w:rPr>
                <w:rFonts w:cs="Times New Roman"/>
                <w:sz w:val="18"/>
                <w:szCs w:val="18"/>
                <w:highlight w:val="yellow"/>
              </w:rPr>
            </w:pPr>
            <w:r w:rsidRPr="00065254">
              <w:rPr>
                <w:rFonts w:cs="Times New Roman"/>
                <w:sz w:val="18"/>
                <w:szCs w:val="18"/>
              </w:rPr>
              <w:t>0.</w:t>
            </w:r>
            <w:r>
              <w:rPr>
                <w:rFonts w:cs="Times New Roman"/>
                <w:sz w:val="18"/>
                <w:szCs w:val="18"/>
              </w:rPr>
              <w:t>02</w:t>
            </w:r>
          </w:p>
        </w:tc>
        <w:tc>
          <w:tcPr>
            <w:tcW w:w="1275" w:type="dxa"/>
            <w:vAlign w:val="center"/>
          </w:tcPr>
          <w:p w14:paraId="14B77C2B" w14:textId="77777777" w:rsidR="00792164" w:rsidRDefault="00792164" w:rsidP="009B7CB4">
            <w:pPr>
              <w:ind w:firstLineChars="0" w:firstLine="0"/>
              <w:jc w:val="left"/>
              <w:rPr>
                <w:rFonts w:cs="Times New Roman"/>
                <w:sz w:val="18"/>
                <w:szCs w:val="18"/>
              </w:rPr>
            </w:pPr>
            <w:r>
              <w:rPr>
                <w:rFonts w:cs="Times New Roman"/>
                <w:sz w:val="18"/>
                <w:szCs w:val="18"/>
              </w:rPr>
              <w:t>β</w:t>
            </w:r>
          </w:p>
        </w:tc>
        <w:tc>
          <w:tcPr>
            <w:tcW w:w="1990" w:type="dxa"/>
            <w:vAlign w:val="center"/>
          </w:tcPr>
          <w:p w14:paraId="5E233A50" w14:textId="77777777" w:rsidR="00792164" w:rsidRDefault="00792164" w:rsidP="009B7CB4">
            <w:pPr>
              <w:ind w:firstLineChars="0" w:firstLine="0"/>
              <w:jc w:val="left"/>
              <w:rPr>
                <w:rFonts w:cs="Times New Roman"/>
                <w:sz w:val="18"/>
                <w:szCs w:val="18"/>
              </w:rPr>
            </w:pPr>
            <w:r>
              <w:rPr>
                <w:rFonts w:cs="Times New Roman"/>
                <w:sz w:val="18"/>
                <w:szCs w:val="18"/>
              </w:rPr>
              <w:fldChar w:fldCharType="begin" w:fldLock="1"/>
            </w:r>
            <w:r>
              <w:rPr>
                <w:rFonts w:cs="Times New Roman"/>
                <w:sz w:val="18"/>
                <w:szCs w:val="18"/>
              </w:rPr>
              <w:instrText xml:space="preserve">ADDIN CSL_CITATION {"citationItems":[{"id":"ITEM-1","itemData":{"DOI":"10.1186/s12937-018-0391-5","ISSN":"14752891","PMID":"30219062","abstract":"Background: Biofortification of staple food crops with zinc (Zn) can be one of the cost-effective and sustainable strategies to combat zinc deficiency and prevent morbidity among the target population. Agronomic approaches such as application of Zn fertilizers to soil and/or foliar spray seem to be a practical tool for Zn biofortification of wheat. However, there is a need to evaluate its efficacy from randomized controlled trials. This study aimed to evaluate the efficacy of zinc biofortified wheat flour on zinc status and its impact on morbidity among children aged 4-6 years and non-pregnant non lactating woman of child bearing age (WCBA) in Delhi, India. Methods: In a community based, double-masked randomized controlled trial, 6005 participants (WCBA and child pairs) were enrolled and randomly allocated to receive either high zinc biofortified wheat flour (HZn, 30 ppm zinc daily) or low zinc biofortified wheat flour (LZn, 20 ppm zinc daily) for 6 months (WCBA @ 360 g/day and children @ 120 g/day). Baseline and endline blood samples were obtained for assessing hematological markers; zinc status and data on compliance and morbidity were collected. Results: Compliance rates were high; </w:instrText>
            </w:r>
            <w:r>
              <w:rPr>
                <w:rFonts w:ascii="Cambria Math" w:hAnsi="Cambria Math" w:cs="Cambria Math"/>
                <w:sz w:val="18"/>
                <w:szCs w:val="18"/>
              </w:rPr>
              <w:instrText>∼</w:instrText>
            </w:r>
            <w:r>
              <w:rPr>
                <w:rFonts w:cs="Times New Roman"/>
                <w:sz w:val="18"/>
                <w:szCs w:val="18"/>
              </w:rPr>
              <w:instrText xml:space="preserve"> 88% of the WCBAs in both the groups consumed 50% or more of recommended amount of biofortfied wheat flour during the follow up. Similarly 86.9% children in HZn and 87.5% in LZn consumed 50% or more of recommended wheat flour intake. There was no significant difference in mean zinc levels between the groups at end study. This observation might be due to a marginal difference in zinc content (10 ppm) between the HZn and LZn wheat flour, and a short intervention period. However a positive impact of bio-fortification on self-reported morbidity was observed. Compared to children in LZn group, children in HZn group had 17% (95% CI: 6 to 31%, p = 0.05) and 40% (95% CI: 16 to 57%; p = 0.0019) reduction in days with pneumonia and vomiting respectively. WCBA in the HZn group also showed a statistically significant 9% fewer days with fever compared to LZn group. Conclusions: Biofortified wheat flour had a good compliance among children and WCBAs. Significant improvement on some of the self-reported morbidity indicators suggests that evaluating longer-term effects of biofortification with higher grain zinc content would be more appropriate. Trial registration: http://ctri.nic.in/Clinicaltrials/, CTRI/2014/04/004527, Registered April 7, 2014.","author":[{"dropping-particle":"","family":"Sazawal","given":"Sunil","non-dropping-particle":"","parse-names":false,"suffix":""},{"dropping-particle":"","family":"Dhingra","given":"Usha","non-dropping-particle":"","parse-names":false,"suffix":""},{"dropping-particle":"","family":"Dhingra","given":"Pratibha","non-dropping-particle":"","parse-names":false,"suffix":""},{"dropping-particle":"","family":"Dutta","given":"Arup","non-dropping-particle":"","parse-names":false,"suffix":""},{"dropping-particle":"","family":"Deb","given":"Saikat","non-dropping-particle":"","parse-names":false,"suffix":""},{"dropping-particle":"","family":"Kumar","given":"Jitendra","non-dropping-particle":"","parse-names":false,"suffix":""},{"dropping-particle":"","family":"Devi","given":"Prabhabati","non-dropping-particle":"","parse-names":false,"suffix":""},{"dropping-particle":"","family":"Prakash","given":"Ashish","non-dropping-particle":"","parse-names":false,"suffix":""}],"container-title":"Nutrition Journal","id":"ITEM-1","issued":{"date-parts":[["2018"]]},"page":"86","publisher":"Nutrition Journal","title":"Efficacy of high zinc biofortified wheat in improvement of micronutrient status, and prevention of morbidity among preschool children and women - A double masked, randomized, controlled trial 11 Medical and Health Sciences 1117 Public Health and Health Se","type":"article-journal","volume":"17"},"uris":["http://www.mendeley.com/documents/?uuid=8921160c-7053-433e-9715-bab689dbb674"]}],"mendeley":{"formattedCitation":"(Sazawal et al. 2018)","manualFormatting":"Sazawal et al., 2018","plainTextFormattedCitation":"(Sazawal et al. 2018)","previouslyFormattedCitation":"&lt;sup&gt;9&lt;/sup&gt;"},"properties":{"noteIndex":0},"schema":"https://github.com/citation-style-language/schema/raw/master/csl-citation.json"}</w:instrText>
            </w:r>
            <w:r>
              <w:rPr>
                <w:rFonts w:cs="Times New Roman"/>
                <w:sz w:val="18"/>
                <w:szCs w:val="18"/>
              </w:rPr>
              <w:fldChar w:fldCharType="separate"/>
            </w:r>
            <w:r>
              <w:rPr>
                <w:rFonts w:cs="Times New Roman"/>
                <w:noProof/>
                <w:sz w:val="18"/>
                <w:szCs w:val="18"/>
              </w:rPr>
              <w:t>Sazawal et al., 2018</w:t>
            </w:r>
            <w:r>
              <w:rPr>
                <w:rFonts w:cs="Times New Roman"/>
                <w:sz w:val="18"/>
                <w:szCs w:val="18"/>
              </w:rPr>
              <w:fldChar w:fldCharType="end"/>
            </w:r>
          </w:p>
        </w:tc>
      </w:tr>
      <w:tr w:rsidR="00792164" w14:paraId="20ED2648" w14:textId="77777777" w:rsidTr="009B7CB4">
        <w:trPr>
          <w:jc w:val="center"/>
        </w:trPr>
        <w:tc>
          <w:tcPr>
            <w:tcW w:w="2410" w:type="dxa"/>
            <w:vAlign w:val="center"/>
          </w:tcPr>
          <w:p w14:paraId="55316F0E" w14:textId="77777777" w:rsidR="00792164" w:rsidRDefault="00792164" w:rsidP="009B7CB4">
            <w:pPr>
              <w:ind w:firstLineChars="0" w:firstLine="0"/>
              <w:jc w:val="left"/>
              <w:rPr>
                <w:rFonts w:cs="Times New Roman"/>
                <w:b/>
                <w:bCs/>
                <w:sz w:val="18"/>
                <w:szCs w:val="18"/>
              </w:rPr>
            </w:pPr>
            <w:r>
              <w:rPr>
                <w:rFonts w:cs="Times New Roman"/>
                <w:b/>
                <w:bCs/>
                <w:sz w:val="18"/>
                <w:szCs w:val="18"/>
              </w:rPr>
              <w:t>Health outcomes</w:t>
            </w:r>
          </w:p>
        </w:tc>
        <w:tc>
          <w:tcPr>
            <w:tcW w:w="1413" w:type="dxa"/>
            <w:vAlign w:val="center"/>
          </w:tcPr>
          <w:p w14:paraId="647E4207" w14:textId="77777777" w:rsidR="00792164" w:rsidRDefault="00792164" w:rsidP="009B7CB4">
            <w:pPr>
              <w:ind w:firstLineChars="0" w:firstLine="0"/>
              <w:jc w:val="left"/>
              <w:rPr>
                <w:rFonts w:cs="Times New Roman"/>
                <w:sz w:val="18"/>
                <w:szCs w:val="18"/>
              </w:rPr>
            </w:pPr>
          </w:p>
        </w:tc>
        <w:tc>
          <w:tcPr>
            <w:tcW w:w="1843" w:type="dxa"/>
            <w:vAlign w:val="center"/>
          </w:tcPr>
          <w:p w14:paraId="5AB7ED7E" w14:textId="77777777" w:rsidR="00792164" w:rsidRDefault="00792164" w:rsidP="009B7CB4">
            <w:pPr>
              <w:ind w:firstLineChars="0" w:firstLine="0"/>
              <w:jc w:val="left"/>
              <w:rPr>
                <w:rFonts w:cs="Times New Roman"/>
                <w:sz w:val="18"/>
                <w:szCs w:val="18"/>
              </w:rPr>
            </w:pPr>
          </w:p>
        </w:tc>
        <w:tc>
          <w:tcPr>
            <w:tcW w:w="851" w:type="dxa"/>
            <w:vAlign w:val="center"/>
          </w:tcPr>
          <w:p w14:paraId="5D1EEAA4" w14:textId="77777777" w:rsidR="00792164" w:rsidRPr="00DA255A" w:rsidRDefault="00792164" w:rsidP="009B7CB4">
            <w:pPr>
              <w:ind w:firstLineChars="0" w:firstLine="0"/>
              <w:jc w:val="left"/>
              <w:rPr>
                <w:rFonts w:cs="Times New Roman"/>
                <w:sz w:val="18"/>
                <w:szCs w:val="18"/>
                <w:highlight w:val="yellow"/>
              </w:rPr>
            </w:pPr>
          </w:p>
        </w:tc>
        <w:tc>
          <w:tcPr>
            <w:tcW w:w="1275" w:type="dxa"/>
            <w:vAlign w:val="center"/>
          </w:tcPr>
          <w:p w14:paraId="061C76B0" w14:textId="77777777" w:rsidR="00792164" w:rsidRDefault="00792164" w:rsidP="009B7CB4">
            <w:pPr>
              <w:ind w:firstLineChars="0" w:firstLine="0"/>
              <w:jc w:val="left"/>
              <w:rPr>
                <w:rFonts w:cs="Times New Roman"/>
                <w:sz w:val="18"/>
                <w:szCs w:val="18"/>
              </w:rPr>
            </w:pPr>
          </w:p>
        </w:tc>
        <w:tc>
          <w:tcPr>
            <w:tcW w:w="1990" w:type="dxa"/>
            <w:vAlign w:val="center"/>
          </w:tcPr>
          <w:p w14:paraId="0D020100" w14:textId="77777777" w:rsidR="00792164" w:rsidRDefault="00792164" w:rsidP="009B7CB4">
            <w:pPr>
              <w:ind w:firstLineChars="0" w:firstLine="0"/>
              <w:jc w:val="left"/>
              <w:rPr>
                <w:rFonts w:cs="Times New Roman"/>
                <w:sz w:val="18"/>
                <w:szCs w:val="18"/>
              </w:rPr>
            </w:pPr>
          </w:p>
        </w:tc>
      </w:tr>
      <w:tr w:rsidR="00792164" w14:paraId="4F49BE09" w14:textId="77777777" w:rsidTr="009B7CB4">
        <w:trPr>
          <w:jc w:val="center"/>
        </w:trPr>
        <w:tc>
          <w:tcPr>
            <w:tcW w:w="2410" w:type="dxa"/>
            <w:vAlign w:val="center"/>
          </w:tcPr>
          <w:p w14:paraId="44E2645C" w14:textId="77777777" w:rsidR="00792164" w:rsidRDefault="00792164" w:rsidP="009B7CB4">
            <w:pPr>
              <w:ind w:firstLineChars="0" w:firstLine="0"/>
              <w:jc w:val="left"/>
              <w:rPr>
                <w:rFonts w:cs="Times New Roman"/>
                <w:sz w:val="18"/>
                <w:szCs w:val="18"/>
              </w:rPr>
            </w:pPr>
            <w:r>
              <w:rPr>
                <w:rFonts w:cs="Times New Roman"/>
                <w:sz w:val="18"/>
                <w:szCs w:val="18"/>
              </w:rPr>
              <w:t xml:space="preserve">QALY weights </w:t>
            </w:r>
          </w:p>
        </w:tc>
        <w:tc>
          <w:tcPr>
            <w:tcW w:w="1413" w:type="dxa"/>
            <w:vAlign w:val="center"/>
          </w:tcPr>
          <w:p w14:paraId="3C30ECD9" w14:textId="77777777" w:rsidR="00792164" w:rsidRDefault="00792164" w:rsidP="009B7CB4">
            <w:pPr>
              <w:ind w:firstLineChars="0" w:firstLine="0"/>
              <w:jc w:val="left"/>
              <w:rPr>
                <w:rFonts w:cs="Times New Roman"/>
                <w:sz w:val="18"/>
                <w:szCs w:val="18"/>
              </w:rPr>
            </w:pPr>
            <w:r>
              <w:rPr>
                <w:rFonts w:cs="Times New Roman"/>
                <w:sz w:val="18"/>
                <w:szCs w:val="18"/>
              </w:rPr>
              <w:t>0.985</w:t>
            </w:r>
          </w:p>
        </w:tc>
        <w:tc>
          <w:tcPr>
            <w:tcW w:w="1843" w:type="dxa"/>
            <w:vAlign w:val="center"/>
          </w:tcPr>
          <w:p w14:paraId="3BFB08FD" w14:textId="77777777" w:rsidR="00792164" w:rsidRDefault="00792164" w:rsidP="009B7CB4">
            <w:pPr>
              <w:ind w:firstLineChars="0" w:firstLine="0"/>
              <w:jc w:val="left"/>
              <w:rPr>
                <w:rFonts w:cs="Times New Roman"/>
                <w:sz w:val="18"/>
                <w:szCs w:val="18"/>
              </w:rPr>
            </w:pPr>
            <w:r>
              <w:rPr>
                <w:rFonts w:cs="Times New Roman"/>
                <w:sz w:val="18"/>
                <w:szCs w:val="18"/>
              </w:rPr>
              <w:t>0.93, 1</w:t>
            </w:r>
          </w:p>
        </w:tc>
        <w:tc>
          <w:tcPr>
            <w:tcW w:w="851" w:type="dxa"/>
            <w:vAlign w:val="center"/>
          </w:tcPr>
          <w:p w14:paraId="2894A8AE" w14:textId="77777777" w:rsidR="00792164" w:rsidRPr="00065254" w:rsidRDefault="00792164" w:rsidP="009B7CB4">
            <w:pPr>
              <w:ind w:firstLineChars="0" w:firstLine="0"/>
              <w:jc w:val="left"/>
              <w:rPr>
                <w:rFonts w:cs="Times New Roman"/>
                <w:sz w:val="18"/>
                <w:szCs w:val="18"/>
              </w:rPr>
            </w:pPr>
            <w:r w:rsidRPr="00065254">
              <w:rPr>
                <w:rFonts w:cs="Times New Roman"/>
                <w:sz w:val="18"/>
                <w:szCs w:val="18"/>
              </w:rPr>
              <w:t>0.02</w:t>
            </w:r>
          </w:p>
        </w:tc>
        <w:tc>
          <w:tcPr>
            <w:tcW w:w="1275" w:type="dxa"/>
            <w:vAlign w:val="center"/>
          </w:tcPr>
          <w:p w14:paraId="6A17DBB9" w14:textId="77777777" w:rsidR="00792164" w:rsidRDefault="00792164" w:rsidP="009B7CB4">
            <w:pPr>
              <w:ind w:firstLineChars="0" w:firstLine="0"/>
              <w:jc w:val="left"/>
              <w:rPr>
                <w:rFonts w:cs="Times New Roman"/>
                <w:sz w:val="18"/>
                <w:szCs w:val="18"/>
              </w:rPr>
            </w:pPr>
            <w:r>
              <w:rPr>
                <w:rFonts w:cs="Times New Roman"/>
                <w:sz w:val="18"/>
                <w:szCs w:val="18"/>
              </w:rPr>
              <w:t>β</w:t>
            </w:r>
          </w:p>
        </w:tc>
        <w:tc>
          <w:tcPr>
            <w:tcW w:w="1990" w:type="dxa"/>
            <w:vAlign w:val="center"/>
          </w:tcPr>
          <w:p w14:paraId="3055311C" w14:textId="77777777" w:rsidR="00792164" w:rsidRDefault="00792164" w:rsidP="009B7CB4">
            <w:pPr>
              <w:ind w:firstLineChars="0" w:firstLine="0"/>
              <w:jc w:val="left"/>
              <w:rPr>
                <w:rFonts w:cs="Times New Roman"/>
                <w:sz w:val="18"/>
                <w:szCs w:val="18"/>
              </w:rPr>
            </w:pPr>
            <w:r>
              <w:rPr>
                <w:rFonts w:cs="Times New Roman"/>
                <w:sz w:val="18"/>
                <w:szCs w:val="18"/>
              </w:rPr>
              <w:t xml:space="preserve">EQ-5D-3L study conducted by </w:t>
            </w:r>
            <w:r>
              <w:rPr>
                <w:rFonts w:cs="Times New Roman"/>
                <w:sz w:val="18"/>
                <w:szCs w:val="18"/>
              </w:rPr>
              <w:fldChar w:fldCharType="begin" w:fldLock="1"/>
            </w:r>
            <w:r>
              <w:rPr>
                <w:rFonts w:cs="Times New Roman"/>
                <w:sz w:val="18"/>
                <w:szCs w:val="18"/>
              </w:rPr>
              <w:instrText>ADDIN CSL_CITATION {"citationItems":[{"id":"ITEM-1","itemData":{"DOI":"10.1186/s12955-019-1109-x","ISSN":"14777525","PMID":"30866953","abstract":"Backgrounds: The EuroQol Group Five-Dimensional (EQ-5D) instruments have been validated in China for measuring health-related quality of life (HRQoL) and are increasingly being used in health economic studies. However, there is paucity in the literature documenting long-term changes in the EQ-5D results in the Chinese populations. This study aims to identify such changes and their determinants using the EQ-5D-3 L instrument. Methods: Data were obtained from the National Health Services Surveys in China, which included the EQ-5D-3 L since 2008. We compared the differences between the 2008 and 2013 surveys in the percentage of reported problems, visual analogue scale (VAS) scores, and the EQ-5D-3 L utility index derived from the national value sets. Factors associated with population changes in these EQ-5D results were identified using logistic, linear and Tobit regression models, respectively. Results: Compared with 2008, reported problems in self-care (3.3% vs 3.1%), usual activities (4.8% vs 4.6%) and anxiety/depression (6.4% vs 5.3%) decreased, whereas reported problems in mobility (5.1% vs 5.9%) and pain/discomfort (9.3% vs 12.6%) increased significantly (p &lt; 0.05) in 2013. The regression models revealed a rise (β = 1.61, p &lt; 0.001) in VAS scores, but a slight drop (β = - 0.01, p &lt; 0.001) in utility index in 2013 compared with 2008 after controlling for variations in demographic, behavioral, socioeconomic and residential variables. But the effect sizes of the changes over time (estimated by \"average change divided by baseline standard deviation\") did not reach the threshold of clinical importance after adjustment for variations in other factors. Higher socioeconomic status (in terms of education, income and residential location) was associated with better EQ-5D-3 L results. Conclusion: The changing trend (decrease) of the utility index is contradictory to that (increase) of the VAS scores, although neither is deemed clinically important. It is evident that socioeconomic and regional disparities in HRQoL exist in China.","author":[{"dropping-particle":"","family":"Yao","given":"Qiang","non-dropping-particle":"","parse-names":false,"suffix":""},{"dropping-particle":"","family":"Liu","given":"Chaojie","non-dropping-particle":"","parse-names":false,"suffix":""},{"dropping-particle":"","family":"Zhang","given":"Yaoguang","non-dropping-particle":"","parse-names":false,"suffix":""},{"dropping-particle":"","family":"Xu","given":"Ling","non-dropping-particle":"","parse-names":false,"suffix":""}],"container-title":"Health and Quality of Life Outcomes","id":"ITEM-1","issue":"1","issued":{"date-parts":[["2019"]]},"page":"1-12","publisher":"Health and Quality of Life Outcomes","title":"Changes in health-related quality of life of Chinese populations measured by the EQ-5D-3 L: A comparison of the 2008 and 2013 National Health Services Surveys","type":"article-journal","volume":"17"},"uris":["http://www.mendeley.com/documents/?uuid=11ae03bf-5232-4781-b7f3-217c15650b56"]}],"mendeley":{"formattedCitation":"(Yao et al. 2019)","manualFormatting":"Yao et al. (2019)","plainTextFormattedCitation":"(Yao et al. 2019)","previouslyFormattedCitation":"&lt;sup&gt;10&lt;/sup&gt;"},"properties":{"noteIndex":0},"schema":"https://github.com/citation-style-language/schema/raw/master/csl-citation.json"}</w:instrText>
            </w:r>
            <w:r>
              <w:rPr>
                <w:rFonts w:cs="Times New Roman"/>
                <w:sz w:val="18"/>
                <w:szCs w:val="18"/>
              </w:rPr>
              <w:fldChar w:fldCharType="separate"/>
            </w:r>
            <w:r>
              <w:rPr>
                <w:rFonts w:cs="Times New Roman"/>
                <w:noProof/>
                <w:sz w:val="18"/>
                <w:szCs w:val="18"/>
              </w:rPr>
              <w:t>Yao et al. (2019)</w:t>
            </w:r>
            <w:r>
              <w:rPr>
                <w:rFonts w:cs="Times New Roman"/>
                <w:sz w:val="18"/>
                <w:szCs w:val="18"/>
              </w:rPr>
              <w:fldChar w:fldCharType="end"/>
            </w:r>
          </w:p>
        </w:tc>
      </w:tr>
      <w:tr w:rsidR="00792164" w14:paraId="580DD863" w14:textId="77777777" w:rsidTr="009B7CB4">
        <w:trPr>
          <w:jc w:val="center"/>
        </w:trPr>
        <w:tc>
          <w:tcPr>
            <w:tcW w:w="2410" w:type="dxa"/>
            <w:vAlign w:val="center"/>
          </w:tcPr>
          <w:p w14:paraId="5B0C4851" w14:textId="77777777" w:rsidR="00792164" w:rsidRDefault="00792164" w:rsidP="009B7CB4">
            <w:pPr>
              <w:ind w:firstLineChars="0" w:firstLine="0"/>
              <w:jc w:val="left"/>
              <w:rPr>
                <w:rFonts w:cs="Times New Roman"/>
                <w:sz w:val="18"/>
                <w:szCs w:val="18"/>
              </w:rPr>
            </w:pPr>
            <w:r>
              <w:rPr>
                <w:rFonts w:cs="Times New Roman"/>
                <w:sz w:val="18"/>
                <w:szCs w:val="18"/>
              </w:rPr>
              <w:t>Disability weight for pneumonia</w:t>
            </w:r>
          </w:p>
        </w:tc>
        <w:tc>
          <w:tcPr>
            <w:tcW w:w="1413" w:type="dxa"/>
            <w:vAlign w:val="center"/>
          </w:tcPr>
          <w:p w14:paraId="013F3E98" w14:textId="77777777" w:rsidR="00792164" w:rsidRDefault="00792164" w:rsidP="009B7CB4">
            <w:pPr>
              <w:ind w:firstLineChars="0" w:firstLine="0"/>
              <w:jc w:val="left"/>
              <w:rPr>
                <w:rFonts w:cs="Times New Roman"/>
                <w:sz w:val="18"/>
                <w:szCs w:val="18"/>
              </w:rPr>
            </w:pPr>
            <w:r>
              <w:rPr>
                <w:rFonts w:cs="Times New Roman"/>
                <w:sz w:val="18"/>
                <w:szCs w:val="18"/>
              </w:rPr>
              <w:t>0.21</w:t>
            </w:r>
          </w:p>
        </w:tc>
        <w:tc>
          <w:tcPr>
            <w:tcW w:w="1843" w:type="dxa"/>
            <w:vAlign w:val="center"/>
          </w:tcPr>
          <w:p w14:paraId="725107A9" w14:textId="77777777" w:rsidR="00792164" w:rsidRDefault="00792164" w:rsidP="009B7CB4">
            <w:pPr>
              <w:ind w:firstLineChars="0" w:firstLine="0"/>
              <w:jc w:val="left"/>
              <w:rPr>
                <w:rFonts w:cs="Times New Roman"/>
                <w:sz w:val="18"/>
                <w:szCs w:val="18"/>
              </w:rPr>
            </w:pPr>
            <w:r>
              <w:rPr>
                <w:rFonts w:cs="Times New Roman"/>
                <w:sz w:val="18"/>
                <w:szCs w:val="18"/>
              </w:rPr>
              <w:t>0.16, 0.26</w:t>
            </w:r>
          </w:p>
        </w:tc>
        <w:tc>
          <w:tcPr>
            <w:tcW w:w="851" w:type="dxa"/>
            <w:vAlign w:val="center"/>
          </w:tcPr>
          <w:p w14:paraId="299FD250" w14:textId="77777777" w:rsidR="00792164" w:rsidRPr="00E04159" w:rsidRDefault="00792164" w:rsidP="009B7CB4">
            <w:pPr>
              <w:ind w:firstLineChars="0" w:firstLine="0"/>
              <w:jc w:val="left"/>
              <w:rPr>
                <w:rFonts w:cs="Times New Roman"/>
                <w:sz w:val="18"/>
                <w:szCs w:val="18"/>
              </w:rPr>
            </w:pPr>
            <w:r w:rsidRPr="00E04159">
              <w:rPr>
                <w:rFonts w:cs="Times New Roman"/>
                <w:sz w:val="18"/>
                <w:szCs w:val="18"/>
              </w:rPr>
              <w:t>0.04</w:t>
            </w:r>
          </w:p>
        </w:tc>
        <w:tc>
          <w:tcPr>
            <w:tcW w:w="1275" w:type="dxa"/>
            <w:vAlign w:val="center"/>
          </w:tcPr>
          <w:p w14:paraId="73540613" w14:textId="77777777" w:rsidR="00792164" w:rsidRDefault="00792164" w:rsidP="009B7CB4">
            <w:pPr>
              <w:ind w:firstLineChars="0" w:firstLine="0"/>
              <w:jc w:val="left"/>
              <w:rPr>
                <w:rFonts w:cs="Times New Roman"/>
                <w:sz w:val="18"/>
                <w:szCs w:val="18"/>
              </w:rPr>
            </w:pPr>
            <w:r>
              <w:rPr>
                <w:rFonts w:cs="Times New Roman"/>
                <w:sz w:val="18"/>
                <w:szCs w:val="18"/>
              </w:rPr>
              <w:t>β</w:t>
            </w:r>
          </w:p>
        </w:tc>
        <w:tc>
          <w:tcPr>
            <w:tcW w:w="1990" w:type="dxa"/>
            <w:vAlign w:val="center"/>
          </w:tcPr>
          <w:p w14:paraId="7979FDE3" w14:textId="77777777" w:rsidR="00792164" w:rsidRDefault="00792164" w:rsidP="009B7CB4">
            <w:pPr>
              <w:ind w:firstLineChars="0" w:firstLine="0"/>
              <w:jc w:val="left"/>
              <w:rPr>
                <w:rFonts w:cs="Times New Roman"/>
                <w:sz w:val="18"/>
                <w:szCs w:val="18"/>
              </w:rPr>
            </w:pPr>
            <w:r>
              <w:rPr>
                <w:rFonts w:cs="Times New Roman"/>
                <w:sz w:val="18"/>
                <w:szCs w:val="18"/>
              </w:rPr>
              <w:fldChar w:fldCharType="begin" w:fldLock="1"/>
            </w:r>
            <w:r>
              <w:rPr>
                <w:rFonts w:cs="Times New Roman"/>
                <w:sz w:val="18"/>
                <w:szCs w:val="18"/>
              </w:rPr>
              <w:instrText>ADDIN CSL_CITATION {"citationItems":[{"id":"ITEM-1","itemData":{"DOI":"10.1016/S0140-6736(12)61680-8","ISSN":"1474547X","PMID":"23245605","abstract":"Background Measurement of the global burden of disease with disability-adjusted life-years (DALYs) requires disability weights that quantify health losses for all non-fatal consequences of disease and injury. There has been extensive debate about a range of conceptual and methodological issues concerning the definition and measurement of these weights. Our primary objective was a comprehensive re-estimation of disability weights for the Global Burden of Disease Study 2010 through a large-scale empirical investigation in which judgments about health losses associated with many causes of disease and injury were elicited from the general public in diverse communities through a new, standardised approach. Methods We surveyed respondents in two ways: household surveys of adults aged 18 years or older (face-to-face interviews in Bangladesh, Indonesia, Peru, and Tanzania; telephone interviews in the USA) between Oct 28, 2009, and June 23, 2010; and an open-access web-based survey between July 26, 2010, and May 16, 2011. The surveys used paired comparison questions, in which respondents considered two hypothetical individuals with different, randomly selected health states and indicated which person they regarded as healthier. The web survey added questions about population health equivalence, which compared the overall health benefits of different life-saving or diseaseprevention programmes. We analysed paired comparison responses with probit regression analysis on all 220 unique states in the study. We used results from the population health equivalence responses to anchor the results from the paired comparisons on the disability weight scale from 0 (implying no loss of health) to 1 (implying a health loss equivalent to death). Additionally, we compared new disability weights with those used in WHO's most recent update of the Global Burden of Disease Study for 2004. Findings 13 902 individuals participated in household surveys and 16 328 in the web survey. Analysis of paired comparison responses indicated a high degree of consistency across surveys: correlations between individual survey results and results from analysis of the pooled dataset were 0 9 or higher in all surveys except in Bangladesh (r=0 75). Most of the 220 disability weights were located on the mild end of the severity scale, with 58 (26%) having weights below 0 05. Five (11%) states had weights below 0 01, such as mild anaemia, mild hearing or vision loss, and secondary infertility. The healt…","author":[{"dropping-particle":"","family":"Salomon","given":"Joshua A.","non-dropping-particle":"","parse-names":false,"suffix":""},{"dropping-particle":"","family":"Vos","given":"Theo","non-dropping-particle":"","parse-names":false,"suffix":""},{"dropping-particle":"","family":"Hogan","given":"Daniel R.","non-dropping-particle":"","parse-names":false,"suffix":""},{"dropping-particle":"","family":"Gagnon","given":"Michael","non-dropping-particle":"","parse-names":false,"suffix":""},{"dropping-particle":"","family":"Naghavi","given":"Mohsen","non-dropping-particle":"","parse-names":false,"suffix":""},{"dropping-particle":"","family":"Mokdad","given":"Ali","non-dropping-particle":"","parse-names":false,"suffix":""},{"dropping-particle":"","family":"Begum","given":"Nazma","non-dropping-particle":"","parse-names":false,"suffix":""},{"dropping-particle":"","family":"Shah","given":"Razibuzzaman","non-dropping-particle":"","parse-names":false,"suffix":""},{"dropping-particle":"","family":"Karyana","given":"Muhammad","non-dropping-particle":"","parse-names":false,"suffix":""},{"dropping-particle":"","family":"Kosen","given":"Soewarta","non-dropping-particle":"","parse-names":false,"suffix":""},{"dropping-particle":"","family":"Farje","given":"Mario Reyna","non-dropping-particle":"","parse-names":false,"suffix":""},{"dropping-particle":"","family":"Moncada","given":"Gilberto","non-dropping-particle":"","parse-names":false,"suffix":""},{"dropping-particle":"","family":"Dutta","given":"Arup","non-dropping-particle":"","parse-names":false,"suffix":""},{"dropping-particle":"","family":"Sazawal","given":"Sunil","non-dropping-particle":"","parse-names":false,"suffix":""},{"dropping-particle":"","family":"Dyer","given":"Andrew","non-dropping-particle":"","parse-names":false,"suffix":""},{"dropping-particle":"","family":"Seiler","given":"Jason","non-dropping-particle":"","parse-names":false,"suffix":""},{"dropping-particle":"","family":"Aboyans","given":"Victor","non-dropping-particle":"","parse-names":false,"suffix":""},{"dropping-particle":"","family":"Baker","given":"Lesley","non-dropping-particle":"","parse-names":false,"suffix":""},{"dropping-particle":"","family":"Baxter","given":"Amanda","non-dropping-particle":"","parse-names":false,"suffix":""},{"dropping-particle":"","family":"Benjamin","given":"Emelia J.","non-dropping-particle":"","parse-names":false,"suffix":""},{"dropping-particle":"","family":"Bhalla","given":"Kavi","non-dropping-particle":"","parse-names":false,"suffix":""},{"dropping-particle":"Bin","family":"Abdulhak","given":"Aref","non-dropping-particle":"","parse-names":false,"suffix":""},{"dropping-particle":"","family":"Blyth","given":"Fiona","non-dropping-particle":"","parse-names":false,"suffix":""},{"dropping-particle":"","family":"Bourne","given":"Rupert","non-dropping-particle":"","parse-names":false,"suffix":""},{"dropping-particle":"","family":"Braithwaite","given":"Tasanee","non-dropping-particle":"","parse-names":false,"suffix":""},{"dropping-particle":"","family":"Brooks","given":"Peter","non-dropping-particle":"","parse-names":false,"suffix":""},{"dropping-particle":"","family":"Brugha","given":"Traolach S.","non-dropping-particle":"","parse-names":false,"suffix":""},{"dropping-particle":"","family":"Bryan-Hancock","given":"Claire","non-dropping-particle":"","parse-names":false,"suffix":""},{"dropping-particle":"","family":"Buchbinder","given":"Rachelle","non-dropping-particle":"","parse-names":false,"suffix":""},{"dropping-particle":"","family":"Burney","given":"Peter","non-dropping-particle":"","parse-names":false,"suffix":""},{"dropping-particle":"","family":"Calabria","given":"Bianca","non-dropping-particle":"","parse-names":false,"suffix":""},{"dropping-particle":"","family":"Chen","given":"Honglei","non-dropping-particle":"","parse-names":false,"suffix":""},{"dropping-particle":"","family":"Chugh","given":"Sumeet S.","non-dropping-particle":"","parse-names":false,"suffix":""},{"dropping-particle":"","family":"Cooley","given":"Rebecca","non-dropping-particle":"","parse-names":false,"suffix":""},{"dropping-particle":"","family":"Criqui","given":"Michael H.","non-dropping-particle":"","parse-names":false,"suffix":""},{"dropping-particle":"","family":"Cross","given":"Marita","non-dropping-particle":"","parse-names":false,"suffix":""},{"dropping-particle":"","family":"Dabhadkar","given":"Kaustubh C.","non-dropping-particle":"","parse-names":false,"suffix":""},{"dropping-particle":"","family":"Dahodwala","given":"Nabila","non-dropping-particle":"","parse-names":false,"suffix":""},{"dropping-particle":"","family":"Davis","given":"Adrian","non-dropping-particle":"","parse-names":false,"suffix":""},{"dropping-particle":"","family":"Degenhardt","given":"Louisa","non-dropping-particle":"","parse-names":false,"suffix":""},{"dropping-particle":"","family":"Díaz-Torné","given":"Cesar","non-dropping-particle":"","parse-names":false,"suffix":""},{"dropping-particle":"","family":"Dorsey","given":"E. Ray","non-dropping-particle":"","parse-names":false,"suffix":""},{"dropping-particle":"","family":"Driscoll","given":"Tim","non-dropping-particle":"","parse-names":false,"suffix":""},{"dropping-particle":"","family":"Edmond","given":"Karen","non-dropping-particle":"","parse-names":false,"suffix":""},{"dropping-particle":"","family":"Elbaz","given":"Alexis","non-dropping-particle":"","parse-names":false,"suffix":""},{"dropping-particle":"","family":"Ezzati","given":"Majid","non-dropping-particle":"","parse-names":false,"suffix":""},{"dropping-particle":"","family":"Feigin","given":"Valery","non-dropping-particle":"","parse-names":false,"suffix":""},{"dropping-particle":"","family":"Ferri","given":"Cleusa P.","non-dropping-particle":"","parse-names":false,"suffix":""},{"dropping-particle":"","family":"Flaxman","given":"Abraham D.","non-dropping-particle":"","parse-names":false,"suffix":""},{"dropping-particle":"","family":"Flood","given":"Louise","non-dropping-particle":"","parse-names":false,"suffix":""},{"dropping-particle":"","family":"Fransen","given":"Marlene","non-dropping-particle":"","parse-names":false,"suffix":""},{"dropping-particle":"","family":"Fuse","given":"Kana","non-dropping-particle":"","parse-names":false,"suffix":""},{"dropping-particle":"","family":"Gabbe","given":"Belinda J.","non-dropping-particle":"","parse-names":false,"suffix":""},{"dropping-particle":"","family":"Gillum","given":"Richard F.","non-dropping-particle":"","parse-names":false,"suffix":""},{"dropping-particle":"","family":"Haagsma","given":"Juanita","non-dropping-particle":"","parse-names":false,"suffix":""},{"dropping-particle":"","family":"Harrison","given":"James E.","non-dropping-particle":"","parse-names":false,"suffix":""},{"dropping-particle":"","family":"Havmoeller","given":"Rasmus","non-dropping-particle":"","parse-names":false,"suffix":""},{"dropping-particle":"","family":"Hay","given":"Roderick J.","non-dropping-particle":"","parse-names":false,"suffix":""},{"dropping-particle":"","family":"Hel-Baqui","given":"Abdullah","non-dropping-particle":"","parse-names":false,"suffix":""},{"dropping-particle":"","family":"Hoek","given":"Hans W.","non-dropping-particle":"","parse-names":false,"suffix":""},{"dropping-particle":"","family":"Hoffman","given":"Howard","non-dropping-particle":"","parse-names":false,"suffix":""},{"dropping-particle":"","family":"Hogeland","given":"Emily","non-dropping-particle":"","parse-names":false,"suffix":""},{"dropping-particle":"","family":"Hoy","given":"Damian","non-dropping-particle":"","parse-names":false,"suffix":""},{"dropping-particle":"","family":"Jarvis","given":"Deborah","non-dropping-particle":"","parse-names":false,"suffix":""},{"dropping-particle":"","family":"Karthikeyan","given":"Ganesan","non-dropping-particle":"","parse-names":false,"suffix":""},{"dropping-particle":"","family":"Knowlton","given":"Lisa Marie","non-dropping-particle":"","parse-names":false,"suffix":""},{"dropping-particle":"","family":"Lathlean","given":"Tim","non-dropping-particle":"","parse-names":false,"suffix":""},{"dropping-particle":"","family":"Leasher","given":"Janet L.","non-dropping-particle":"","parse-names":false,"suffix":""},{"dropping-particle":"","family":"Lim","given":"Stephen S.","non-dropping-particle":"","parse-names":false,"suffix":""},{"dropping-particle":"","family":"Lipshultz","given":"Steven E.","non-dropping-particle":"","parse-names":false,"suffix":""},{"dropping-particle":"","family":"Lopez","given":"Alan D.","non-dropping-particle":"","parse-names":false,"suffix":""},{"dropping-particle":"","family":"Lozano","given":"Rafael","non-dropping-particle":"","parse-names":false,"suffix":""},{"dropping-particle":"","family":"Lyons","given":"Ronan","non-dropping-particle":"","parse-names":false,"suffix":""},{"dropping-particle":"","family":"Malekzadeh","given":"Reza","non-dropping-particle":"","parse-names":false,"suffix":""},{"dropping-particle":"","family":"Marcenes","given":"Wagner","non-dropping-particle":"","parse-names":false,"suffix":""},{"dropping-particle":"","family":"March","given":"Lyn","non-dropping-particle":"","parse-names":false,"suffix":""},{"dropping-particle":"","family":"Margolis","given":"David J.","non-dropping-particle":"","parse-names":false,"suffix":""},{"dropping-particle":"","family":"McGill","given":"Neil","non-dropping-particle":"","parse-names":false,"suffix":""},{"dropping-particle":"","family":"McGrath","given":"John","non-dropping-particle":"","parse-names":false,"suffix":""},{"dropping-particle":"","family":"Mensah","given":"George A.","non-dropping-particle":"","parse-names":false,"suffix":""},{"dropping-particle":"","family":"Meyer","given":"Ana Claire","non-dropping-particle":"","parse-names":false,"suffix":""},{"dropping-particle":"","family":"Michaud","given":"Catherine","non-dropping-particle":"","parse-names":false,"suffix":""},{"dropping-particle":"","family":"Moran","given":"Andrew","non-dropping-particle":"","parse-names":false,"suffix":""},{"dropping-particle":"","family":"Mori","given":"Rintaro","non-dropping-particle":"","parse-names":false,"suffix":""},{"dropping-particle":"","family":"Murdoch","given":"Michele E.","non-dropping-particle":"","parse-names":false,"suffix":""},{"dropping-particle":"","family":"Naldi","given":"Luigi","non-dropping-particle":"","parse-names":false,"suffix":""},{"dropping-particle":"","family":"Newton","given":"Charles R.","non-dropping-particle":"","parse-names":false,"suffix":""},{"dropping-particle":"","family":"Norman","given":"Rosana","non-dropping-particle":"","parse-names":false,"suffix":""},{"dropping-particle":"","family":"Omer","given":"Saad B.","non-dropping-particle":"","parse-names":false,"suffix":""},{"dropping-particle":"","family":"Osborne","given":"Richard","non-dropping-particle":"","parse-names":false,"suffix":""},{"dropping-particle":"","family":"Pearce","given":"Neil","non-dropping-particle":"","parse-names":false,"suffix":""},{"dropping-particle":"","family":"Perez-Ruiz","given":"Fernando","non-dropping-particle":"","parse-names":false,"suffix":""},{"dropping-particle":"","family":"Perico","given":"Norberto","non-dropping-particle":"","parse-names":false,"suffix":""},{"dropping-particle":"","family":"Pesudovs","given":"Konrad","non-dropping-particle":"","parse-names":false,"suffix":""},{"dropping-particle":"","family":"Phillips","given":"David","non-dropping-particle":"","parse-names":false,"suffix":""},{"dropping-particle":"","family":"Pourmalek","given":"Farshad","non-dropping-particle":"","parse-names":false,"suffix":""},{"dropping-particle":"","family":"Prince","given":"Martin","non-dropping-particle":"","parse-names":false,"suffix":""},{"dropping-particle":"","family":"Rehm","given":"Jürgen T.","non-dropping-particle":"","parse-names":false,"suffix":""},{"dropping-particle":"","family":"Remuzzi","given":"Guiseppe","non-dropping-particle":"","parse-names":false,"suffix":""},{"dropping-particle":"","family":"Richardson","given":"Kathryn","non-dropping-particle":"","parse-names":false,"suffix":""},{"dropping-particle":"","family":"Room","given":"Robin","non-dropping-particle":"","parse-names":false,"suffix":""},{"dropping-particle":"","family":"Saha","given":"Sukanta","non-dropping-particle":"","parse-names":false,"suffix":""},{"dropping-particle":"","family":"Sampson","given":"Uchechukwu","non-dropping-particle":"","parse-names":false,"suffix":""},{"dropping-particle":"","family":"Sanchez-Riera","given":"Lidia","non-dropping-particle":"","parse-names":false,"suffix":""},{"dropping-particle":"","family":"Segui-Gomez","given":"Maria","non-dropping-particle":"","parse-names":false,"suffix":""},{"dropping-particle":"","family":"Shahraz","given":"Saeid","non-dropping-particle":"","parse-names":false,"suffix":""},{"dropping-particle":"","family":"Shibuya","given":"Kenji","non-dropping-particle":"","parse-names":false,"suffix":""},{"dropping-particle":"","family":"Singh","given":"David","non-dropping-particle":"","parse-names":false,"suffix":""},{"dropping-particle":"","family":"Sliwa","given":"Karen","non-dropping-particle":"","parse-names":false,"suffix":""},{"dropping-particle":"","family":"Smith","given":"Emma","non-dropping-particle":"","parse-names":false,"suffix":""},{"dropping-particle":"","family":"Soerjomataram","given":"Isabelle","non-dropping-particle":"","parse-names":false,"suffix":""},{"dropping-particle":"","family":"Steiner","given":"Timothy","non-dropping-particle":"","parse-names":false,"suffix":""},{"dropping-particle":"","family":"Stolk","given":"Wilma A.","non-dropping-particle":"","parse-names":false,"suffix":""},{"dropping-particle":"","family":"Stovner","given":"Lars Jacob","non-dropping-particle":"","parse-names":false,"suffix":""},{"dropping-particle":"","family":"Sudfeld","given":"Christopher","non-dropping-particle":"","parse-names":false,"suffix":""},{"dropping-particle":"","family":"Taylor","given":"Hugh R.","non-dropping-particle":"","parse-names":false,"suffix":""},{"dropping-particle":"","family":"Tleyjeh","given":"Imad M.","non-dropping-particle":"","parse-names":false,"suffix":""},{"dropping-particle":"","family":"Werf","given":"Marieke J.","non-dropping-particle":"Van Der","parse-names":false,"suffix":""},{"dropping-particle":"","family":"Watson","given":"Wendy L.","non-dropping-particle":"","parse-names":false,"suffix":""},{"dropping-particle":"","family":"Weatherall","given":"David J.","non-dropping-particle":"","parse-names":false,"suffix":""},{"dropping-particle":"","family":"Weintraub","given":"Robert","non-dropping-particle":"","parse-names":false,"suffix":""},{"dropping-particle":"","family":"Weisskopf","given":"Marc G.","non-dropping-particle":"","parse-names":false,"suffix":""},{"dropping-particle":"","family":"Whiteford","given":"Harvey","non-dropping-particle":"","parse-names":false,"suffix":""},{"dropping-particle":"","family":"Wilkinson","given":"James D.","non-dropping-particle":"","parse-names":false,"suffix":""},{"dropping-particle":"","family":"Woolf","given":"Anthony D.","non-dropping-particle":"","parse-names":false,"suffix":""},{"dropping-particle":"","family":"Zheng","given":"Zhi Jie","non-dropping-particle":"","parse-names":false,"suffix":""},{"dropping-particle":"","family":"Murray","given":"Christopher J.L.","non-dropping-particle":"","parse-names":false,"suffix":""}],"container-title":"The Lancet","id":"ITEM-1","issue":"9859","issued":{"date-parts":[["2012"]]},"page":"2129-2143","title":"Common values in assessing health outcomes from disease and injury: Disability weights measurement study for the Global Burden of Disease Study 2010","type":"article-journal","volume":"380"},"uris":["http://www.mendeley.com/documents/?uuid=c460b101-23f0-4afe-ab2a-d4d0b382b90d"]}],"mendeley":{"formattedCitation":"(Salomon et al. 2012)","manualFormatting":"Salomon et al., 2012","plainTextFormattedCitation":"(Salomon et al. 2012)","previouslyFormattedCitation":"&lt;sup&gt;11&lt;/sup&gt;"},"properties":{"noteIndex":0},"schema":"https://github.com/citation-style-language/schema/raw/master/csl-citation.json"}</w:instrText>
            </w:r>
            <w:r>
              <w:rPr>
                <w:rFonts w:cs="Times New Roman"/>
                <w:sz w:val="18"/>
                <w:szCs w:val="18"/>
              </w:rPr>
              <w:fldChar w:fldCharType="separate"/>
            </w:r>
            <w:r>
              <w:rPr>
                <w:rFonts w:cs="Times New Roman"/>
                <w:noProof/>
                <w:sz w:val="18"/>
                <w:szCs w:val="18"/>
              </w:rPr>
              <w:t>Salomon et al., 2012</w:t>
            </w:r>
            <w:r>
              <w:rPr>
                <w:rFonts w:cs="Times New Roman"/>
                <w:sz w:val="18"/>
                <w:szCs w:val="18"/>
              </w:rPr>
              <w:fldChar w:fldCharType="end"/>
            </w:r>
          </w:p>
        </w:tc>
      </w:tr>
      <w:tr w:rsidR="00792164" w14:paraId="4D9D5B6D" w14:textId="77777777" w:rsidTr="009B7CB4">
        <w:trPr>
          <w:jc w:val="center"/>
        </w:trPr>
        <w:tc>
          <w:tcPr>
            <w:tcW w:w="2410" w:type="dxa"/>
            <w:vAlign w:val="center"/>
          </w:tcPr>
          <w:p w14:paraId="26332F99" w14:textId="77777777" w:rsidR="00792164" w:rsidRDefault="00792164" w:rsidP="009B7CB4">
            <w:pPr>
              <w:ind w:firstLineChars="0" w:firstLine="0"/>
              <w:jc w:val="left"/>
              <w:rPr>
                <w:rFonts w:cs="Times New Roman"/>
                <w:sz w:val="18"/>
                <w:szCs w:val="18"/>
              </w:rPr>
            </w:pPr>
            <w:r>
              <w:rPr>
                <w:rFonts w:cs="Times New Roman"/>
                <w:sz w:val="18"/>
                <w:szCs w:val="18"/>
              </w:rPr>
              <w:t>Disability weight for anemia</w:t>
            </w:r>
          </w:p>
        </w:tc>
        <w:tc>
          <w:tcPr>
            <w:tcW w:w="1413" w:type="dxa"/>
            <w:vAlign w:val="center"/>
          </w:tcPr>
          <w:p w14:paraId="14B5CE10" w14:textId="77777777" w:rsidR="00792164" w:rsidRDefault="00792164" w:rsidP="009B7CB4">
            <w:pPr>
              <w:ind w:firstLineChars="0" w:firstLine="0"/>
              <w:jc w:val="left"/>
              <w:rPr>
                <w:rFonts w:cs="Times New Roman"/>
                <w:sz w:val="18"/>
                <w:szCs w:val="18"/>
              </w:rPr>
            </w:pPr>
            <w:r>
              <w:rPr>
                <w:rFonts w:cs="Times New Roman"/>
                <w:sz w:val="18"/>
                <w:szCs w:val="18"/>
              </w:rPr>
              <w:t>0.058</w:t>
            </w:r>
          </w:p>
        </w:tc>
        <w:tc>
          <w:tcPr>
            <w:tcW w:w="1843" w:type="dxa"/>
            <w:vAlign w:val="center"/>
          </w:tcPr>
          <w:p w14:paraId="1DAEE83F" w14:textId="77777777" w:rsidR="00792164" w:rsidRDefault="00792164" w:rsidP="009B7CB4">
            <w:pPr>
              <w:ind w:firstLineChars="0" w:firstLine="0"/>
              <w:jc w:val="left"/>
              <w:rPr>
                <w:rFonts w:cs="Times New Roman"/>
                <w:sz w:val="18"/>
                <w:szCs w:val="18"/>
              </w:rPr>
            </w:pPr>
            <w:r>
              <w:rPr>
                <w:rFonts w:cs="Times New Roman"/>
                <w:sz w:val="18"/>
                <w:szCs w:val="18"/>
              </w:rPr>
              <w:t>0.044,0.073</w:t>
            </w:r>
          </w:p>
        </w:tc>
        <w:tc>
          <w:tcPr>
            <w:tcW w:w="851" w:type="dxa"/>
            <w:vAlign w:val="center"/>
          </w:tcPr>
          <w:p w14:paraId="5A1087B6" w14:textId="77777777" w:rsidR="00792164" w:rsidRPr="00E04159" w:rsidRDefault="00792164" w:rsidP="009B7CB4">
            <w:pPr>
              <w:ind w:firstLineChars="0" w:firstLine="0"/>
              <w:jc w:val="left"/>
              <w:rPr>
                <w:rFonts w:cs="Times New Roman"/>
                <w:sz w:val="18"/>
                <w:szCs w:val="18"/>
              </w:rPr>
            </w:pPr>
            <w:r w:rsidRPr="00E04159">
              <w:rPr>
                <w:rFonts w:cs="Times New Roman"/>
                <w:sz w:val="18"/>
                <w:szCs w:val="18"/>
              </w:rPr>
              <w:t>0.02</w:t>
            </w:r>
          </w:p>
        </w:tc>
        <w:tc>
          <w:tcPr>
            <w:tcW w:w="1275" w:type="dxa"/>
            <w:vAlign w:val="center"/>
          </w:tcPr>
          <w:p w14:paraId="47332E41" w14:textId="77777777" w:rsidR="00792164" w:rsidRDefault="00792164" w:rsidP="009B7CB4">
            <w:pPr>
              <w:ind w:firstLineChars="0" w:firstLine="0"/>
              <w:jc w:val="left"/>
              <w:rPr>
                <w:rFonts w:cs="Times New Roman"/>
                <w:sz w:val="18"/>
                <w:szCs w:val="18"/>
              </w:rPr>
            </w:pPr>
            <w:r>
              <w:rPr>
                <w:rFonts w:cs="Times New Roman"/>
                <w:sz w:val="18"/>
                <w:szCs w:val="18"/>
              </w:rPr>
              <w:t>β</w:t>
            </w:r>
          </w:p>
        </w:tc>
        <w:tc>
          <w:tcPr>
            <w:tcW w:w="1990" w:type="dxa"/>
            <w:vAlign w:val="center"/>
          </w:tcPr>
          <w:p w14:paraId="118244FD" w14:textId="77777777" w:rsidR="00792164" w:rsidRDefault="00792164" w:rsidP="009B7CB4">
            <w:pPr>
              <w:ind w:firstLineChars="0" w:firstLine="0"/>
              <w:jc w:val="left"/>
              <w:rPr>
                <w:rFonts w:cs="Times New Roman"/>
                <w:sz w:val="18"/>
                <w:szCs w:val="18"/>
              </w:rPr>
            </w:pPr>
            <w:r>
              <w:rPr>
                <w:rFonts w:cs="Times New Roman"/>
                <w:sz w:val="18"/>
                <w:szCs w:val="18"/>
              </w:rPr>
              <w:fldChar w:fldCharType="begin" w:fldLock="1"/>
            </w:r>
            <w:r>
              <w:rPr>
                <w:rFonts w:cs="Times New Roman"/>
                <w:sz w:val="18"/>
                <w:szCs w:val="18"/>
              </w:rPr>
              <w:instrText>ADDIN CSL_CITATION {"citationItems":[{"id":"ITEM-1","itemData":{"DOI":"10.1016/S0140-6736(12)61680-8","ISSN":"1474547X","PMID":"23245605","abstract":"Background Measurement of the global burden of disease with disability-adjusted life-years (DALYs) requires disability weights that quantify health losses for all non-fatal consequences of disease and injury. There has been extensive debate about a range of conceptual and methodological issues concerning the definition and measurement of these weights. Our primary objective was a comprehensive re-estimation of disability weights for the Global Burden of Disease Study 2010 through a large-scale empirical investigation in which judgments about health losses associated with many causes of disease and injury were elicited from the general public in diverse communities through a new, standardised approach. Methods We surveyed respondents in two ways: household surveys of adults aged 18 years or older (face-to-face interviews in Bangladesh, Indonesia, Peru, and Tanzania; telephone interviews in the USA) between Oct 28, 2009, and June 23, 2010; and an open-access web-based survey between July 26, 2010, and May 16, 2011. The surveys used paired comparison questions, in which respondents considered two hypothetical individuals with different, randomly selected health states and indicated which person they regarded as healthier. The web survey added questions about population health equivalence, which compared the overall health benefits of different life-saving or diseaseprevention programmes. We analysed paired comparison responses with probit regression analysis on all 220 unique states in the study. We used results from the population health equivalence responses to anchor the results from the paired comparisons on the disability weight scale from 0 (implying no loss of health) to 1 (implying a health loss equivalent to death). Additionally, we compared new disability weights with those used in WHO's most recent update of the Global Burden of Disease Study for 2004. Findings 13 902 individuals participated in household surveys and 16 328 in the web survey. Analysis of paired comparison responses indicated a high degree of consistency across surveys: correlations between individual survey results and results from analysis of the pooled dataset were 0 9 or higher in all surveys except in Bangladesh (r=0 75). Most of the 220 disability weights were located on the mild end of the severity scale, with 58 (26%) having weights below 0 05. Five (11%) states had weights below 0 01, such as mild anaemia, mild hearing or vision loss, and secondary infertility. The healt…","author":[{"dropping-particle":"","family":"Salomon","given":"Joshua A.","non-dropping-particle":"","parse-names":false,"suffix":""},{"dropping-particle":"","family":"Vos","given":"Theo","non-dropping-particle":"","parse-names":false,"suffix":""},{"dropping-particle":"","family":"Hogan","given":"Daniel R.","non-dropping-particle":"","parse-names":false,"suffix":""},{"dropping-particle":"","family":"Gagnon","given":"Michael","non-dropping-particle":"","parse-names":false,"suffix":""},{"dropping-particle":"","family":"Naghavi","given":"Mohsen","non-dropping-particle":"","parse-names":false,"suffix":""},{"dropping-particle":"","family":"Mokdad","given":"Ali","non-dropping-particle":"","parse-names":false,"suffix":""},{"dropping-particle":"","family":"Begum","given":"Nazma","non-dropping-particle":"","parse-names":false,"suffix":""},{"dropping-particle":"","family":"Shah","given":"Razibuzzaman","non-dropping-particle":"","parse-names":false,"suffix":""},{"dropping-particle":"","family":"Karyana","given":"Muhammad","non-dropping-particle":"","parse-names":false,"suffix":""},{"dropping-particle":"","family":"Kosen","given":"Soewarta","non-dropping-particle":"","parse-names":false,"suffix":""},{"dropping-particle":"","family":"Farje","given":"Mario Reyna","non-dropping-particle":"","parse-names":false,"suffix":""},{"dropping-particle":"","family":"Moncada","given":"Gilberto","non-dropping-particle":"","parse-names":false,"suffix":""},{"dropping-particle":"","family":"Dutta","given":"Arup","non-dropping-particle":"","parse-names":false,"suffix":""},{"dropping-particle":"","family":"Sazawal","given":"Sunil","non-dropping-particle":"","parse-names":false,"suffix":""},{"dropping-particle":"","family":"Dyer","given":"Andrew","non-dropping-particle":"","parse-names":false,"suffix":""},{"dropping-particle":"","family":"Seiler","given":"Jason","non-dropping-particle":"","parse-names":false,"suffix":""},{"dropping-particle":"","family":"Aboyans","given":"Victor","non-dropping-particle":"","parse-names":false,"suffix":""},{"dropping-particle":"","family":"Baker","given":"Lesley","non-dropping-particle":"","parse-names":false,"suffix":""},{"dropping-particle":"","family":"Baxter","given":"Amanda","non-dropping-particle":"","parse-names":false,"suffix":""},{"dropping-particle":"","family":"Benjamin","given":"Emelia J.","non-dropping-particle":"","parse-names":false,"suffix":""},{"dropping-particle":"","family":"Bhalla","given":"Kavi","non-dropping-particle":"","parse-names":false,"suffix":""},{"dropping-particle":"Bin","family":"Abdulhak","given":"Aref","non-dropping-particle":"","parse-names":false,"suffix":""},{"dropping-particle":"","family":"Blyth","given":"Fiona","non-dropping-particle":"","parse-names":false,"suffix":""},{"dropping-particle":"","family":"Bourne","given":"Rupert","non-dropping-particle":"","parse-names":false,"suffix":""},{"dropping-particle":"","family":"Braithwaite","given":"Tasanee","non-dropping-particle":"","parse-names":false,"suffix":""},{"dropping-particle":"","family":"Brooks","given":"Peter","non-dropping-particle":"","parse-names":false,"suffix":""},{"dropping-particle":"","family":"Brugha","given":"Traolach S.","non-dropping-particle":"","parse-names":false,"suffix":""},{"dropping-particle":"","family":"Bryan-Hancock","given":"Claire","non-dropping-particle":"","parse-names":false,"suffix":""},{"dropping-particle":"","family":"Buchbinder","given":"Rachelle","non-dropping-particle":"","parse-names":false,"suffix":""},{"dropping-particle":"","family":"Burney","given":"Peter","non-dropping-particle":"","parse-names":false,"suffix":""},{"dropping-particle":"","family":"Calabria","given":"Bianca","non-dropping-particle":"","parse-names":false,"suffix":""},{"dropping-particle":"","family":"Chen","given":"Honglei","non-dropping-particle":"","parse-names":false,"suffix":""},{"dropping-particle":"","family":"Chugh","given":"Sumeet S.","non-dropping-particle":"","parse-names":false,"suffix":""},{"dropping-particle":"","family":"Cooley","given":"Rebecca","non-dropping-particle":"","parse-names":false,"suffix":""},{"dropping-particle":"","family":"Criqui","given":"Michael H.","non-dropping-particle":"","parse-names":false,"suffix":""},{"dropping-particle":"","family":"Cross","given":"Marita","non-dropping-particle":"","parse-names":false,"suffix":""},{"dropping-particle":"","family":"Dabhadkar","given":"Kaustubh C.","non-dropping-particle":"","parse-names":false,"suffix":""},{"dropping-particle":"","family":"Dahodwala","given":"Nabila","non-dropping-particle":"","parse-names":false,"suffix":""},{"dropping-particle":"","family":"Davis","given":"Adrian","non-dropping-particle":"","parse-names":false,"suffix":""},{"dropping-particle":"","family":"Degenhardt","given":"Louisa","non-dropping-particle":"","parse-names":false,"suffix":""},{"dropping-particle":"","family":"Díaz-Torné","given":"Cesar","non-dropping-particle":"","parse-names":false,"suffix":""},{"dropping-particle":"","family":"Dorsey","given":"E. Ray","non-dropping-particle":"","parse-names":false,"suffix":""},{"dropping-particle":"","family":"Driscoll","given":"Tim","non-dropping-particle":"","parse-names":false,"suffix":""},{"dropping-particle":"","family":"Edmond","given":"Karen","non-dropping-particle":"","parse-names":false,"suffix":""},{"dropping-particle":"","family":"Elbaz","given":"Alexis","non-dropping-particle":"","parse-names":false,"suffix":""},{"dropping-particle":"","family":"Ezzati","given":"Majid","non-dropping-particle":"","parse-names":false,"suffix":""},{"dropping-particle":"","family":"Feigin","given":"Valery","non-dropping-particle":"","parse-names":false,"suffix":""},{"dropping-particle":"","family":"Ferri","given":"Cleusa P.","non-dropping-particle":"","parse-names":false,"suffix":""},{"dropping-particle":"","family":"Flaxman","given":"Abraham D.","non-dropping-particle":"","parse-names":false,"suffix":""},{"dropping-particle":"","family":"Flood","given":"Louise","non-dropping-particle":"","parse-names":false,"suffix":""},{"dropping-particle":"","family":"Fransen","given":"Marlene","non-dropping-particle":"","parse-names":false,"suffix":""},{"dropping-particle":"","family":"Fuse","given":"Kana","non-dropping-particle":"","parse-names":false,"suffix":""},{"dropping-particle":"","family":"Gabbe","given":"Belinda J.","non-dropping-particle":"","parse-names":false,"suffix":""},{"dropping-particle":"","family":"Gillum","given":"Richard F.","non-dropping-particle":"","parse-names":false,"suffix":""},{"dropping-particle":"","family":"Haagsma","given":"Juanita","non-dropping-particle":"","parse-names":false,"suffix":""},{"dropping-particle":"","family":"Harrison","given":"James E.","non-dropping-particle":"","parse-names":false,"suffix":""},{"dropping-particle":"","family":"Havmoeller","given":"Rasmus","non-dropping-particle":"","parse-names":false,"suffix":""},{"dropping-particle":"","family":"Hay","given":"Roderick J.","non-dropping-particle":"","parse-names":false,"suffix":""},{"dropping-particle":"","family":"Hel-Baqui","given":"Abdullah","non-dropping-particle":"","parse-names":false,"suffix":""},{"dropping-particle":"","family":"Hoek","given":"Hans W.","non-dropping-particle":"","parse-names":false,"suffix":""},{"dropping-particle":"","family":"Hoffman","given":"Howard","non-dropping-particle":"","parse-names":false,"suffix":""},{"dropping-particle":"","family":"Hogeland","given":"Emily","non-dropping-particle":"","parse-names":false,"suffix":""},{"dropping-particle":"","family":"Hoy","given":"Damian","non-dropping-particle":"","parse-names":false,"suffix":""},{"dropping-particle":"","family":"Jarvis","given":"Deborah","non-dropping-particle":"","parse-names":false,"suffix":""},{"dropping-particle":"","family":"Karthikeyan","given":"Ganesan","non-dropping-particle":"","parse-names":false,"suffix":""},{"dropping-particle":"","family":"Knowlton","given":"Lisa Marie","non-dropping-particle":"","parse-names":false,"suffix":""},{"dropping-particle":"","family":"Lathlean","given":"Tim","non-dropping-particle":"","parse-names":false,"suffix":""},{"dropping-particle":"","family":"Leasher","given":"Janet L.","non-dropping-particle":"","parse-names":false,"suffix":""},{"dropping-particle":"","family":"Lim","given":"Stephen S.","non-dropping-particle":"","parse-names":false,"suffix":""},{"dropping-particle":"","family":"Lipshultz","given":"Steven E.","non-dropping-particle":"","parse-names":false,"suffix":""},{"dropping-particle":"","family":"Lopez","given":"Alan D.","non-dropping-particle":"","parse-names":false,"suffix":""},{"dropping-particle":"","family":"Lozano","given":"Rafael","non-dropping-particle":"","parse-names":false,"suffix":""},{"dropping-particle":"","family":"Lyons","given":"Ronan","non-dropping-particle":"","parse-names":false,"suffix":""},{"dropping-particle":"","family":"Malekzadeh","given":"Reza","non-dropping-particle":"","parse-names":false,"suffix":""},{"dropping-particle":"","family":"Marcenes","given":"Wagner","non-dropping-particle":"","parse-names":false,"suffix":""},{"dropping-particle":"","family":"March","given":"Lyn","non-dropping-particle":"","parse-names":false,"suffix":""},{"dropping-particle":"","family":"Margolis","given":"David J.","non-dropping-particle":"","parse-names":false,"suffix":""},{"dropping-particle":"","family":"McGill","given":"Neil","non-dropping-particle":"","parse-names":false,"suffix":""},{"dropping-particle":"","family":"McGrath","given":"John","non-dropping-particle":"","parse-names":false,"suffix":""},{"dropping-particle":"","family":"Mensah","given":"George A.","non-dropping-particle":"","parse-names":false,"suffix":""},{"dropping-particle":"","family":"Meyer","given":"Ana Claire","non-dropping-particle":"","parse-names":false,"suffix":""},{"dropping-particle":"","family":"Michaud","given":"Catherine","non-dropping-particle":"","parse-names":false,"suffix":""},{"dropping-particle":"","family":"Moran","given":"Andrew","non-dropping-particle":"","parse-names":false,"suffix":""},{"dropping-particle":"","family":"Mori","given":"Rintaro","non-dropping-particle":"","parse-names":false,"suffix":""},{"dropping-particle":"","family":"Murdoch","given":"Michele E.","non-dropping-particle":"","parse-names":false,"suffix":""},{"dropping-particle":"","family":"Naldi","given":"Luigi","non-dropping-particle":"","parse-names":false,"suffix":""},{"dropping-particle":"","family":"Newton","given":"Charles R.","non-dropping-particle":"","parse-names":false,"suffix":""},{"dropping-particle":"","family":"Norman","given":"Rosana","non-dropping-particle":"","parse-names":false,"suffix":""},{"dropping-particle":"","family":"Omer","given":"Saad B.","non-dropping-particle":"","parse-names":false,"suffix":""},{"dropping-particle":"","family":"Osborne","given":"Richard","non-dropping-particle":"","parse-names":false,"suffix":""},{"dropping-particle":"","family":"Pearce","given":"Neil","non-dropping-particle":"","parse-names":false,"suffix":""},{"dropping-particle":"","family":"Perez-Ruiz","given":"Fernando","non-dropping-particle":"","parse-names":false,"suffix":""},{"dropping-particle":"","family":"Perico","given":"Norberto","non-dropping-particle":"","parse-names":false,"suffix":""},{"dropping-particle":"","family":"Pesudovs","given":"Konrad","non-dropping-particle":"","parse-names":false,"suffix":""},{"dropping-particle":"","family":"Phillips","given":"David","non-dropping-particle":"","parse-names":false,"suffix":""},{"dropping-particle":"","family":"Pourmalek","given":"Farshad","non-dropping-particle":"","parse-names":false,"suffix":""},{"dropping-particle":"","family":"Prince","given":"Martin","non-dropping-particle":"","parse-names":false,"suffix":""},{"dropping-particle":"","family":"Rehm","given":"Jürgen T.","non-dropping-particle":"","parse-names":false,"suffix":""},{"dropping-particle":"","family":"Remuzzi","given":"Guiseppe","non-dropping-particle":"","parse-names":false,"suffix":""},{"dropping-particle":"","family":"Richardson","given":"Kathryn","non-dropping-particle":"","parse-names":false,"suffix":""},{"dropping-particle":"","family":"Room","given":"Robin","non-dropping-particle":"","parse-names":false,"suffix":""},{"dropping-particle":"","family":"Saha","given":"Sukanta","non-dropping-particle":"","parse-names":false,"suffix":""},{"dropping-particle":"","family":"Sampson","given":"Uchechukwu","non-dropping-particle":"","parse-names":false,"suffix":""},{"dropping-particle":"","family":"Sanchez-Riera","given":"Lidia","non-dropping-particle":"","parse-names":false,"suffix":""},{"dropping-particle":"","family":"Segui-Gomez","given":"Maria","non-dropping-particle":"","parse-names":false,"suffix":""},{"dropping-particle":"","family":"Shahraz","given":"Saeid","non-dropping-particle":"","parse-names":false,"suffix":""},{"dropping-particle":"","family":"Shibuya","given":"Kenji","non-dropping-particle":"","parse-names":false,"suffix":""},{"dropping-particle":"","family":"Singh","given":"David","non-dropping-particle":"","parse-names":false,"suffix":""},{"dropping-particle":"","family":"Sliwa","given":"Karen","non-dropping-particle":"","parse-names":false,"suffix":""},{"dropping-particle":"","family":"Smith","given":"Emma","non-dropping-particle":"","parse-names":false,"suffix":""},{"dropping-particle":"","family":"Soerjomataram","given":"Isabelle","non-dropping-particle":"","parse-names":false,"suffix":""},{"dropping-particle":"","family":"Steiner","given":"Timothy","non-dropping-particle":"","parse-names":false,"suffix":""},{"dropping-particle":"","family":"Stolk","given":"Wilma A.","non-dropping-particle":"","parse-names":false,"suffix":""},{"dropping-particle":"","family":"Stovner","given":"Lars Jacob","non-dropping-particle":"","parse-names":false,"suffix":""},{"dropping-particle":"","family":"Sudfeld","given":"Christopher","non-dropping-particle":"","parse-names":false,"suffix":""},{"dropping-particle":"","family":"Taylor","given":"Hugh R.","non-dropping-particle":"","parse-names":false,"suffix":""},{"dropping-particle":"","family":"Tleyjeh","given":"Imad M.","non-dropping-particle":"","parse-names":false,"suffix":""},{"dropping-particle":"","family":"Werf","given":"Marieke J.","non-dropping-particle":"Van Der","parse-names":false,"suffix":""},{"dropping-particle":"","family":"Watson","given":"Wendy L.","non-dropping-particle":"","parse-names":false,"suffix":""},{"dropping-particle":"","family":"Weatherall","given":"David J.","non-dropping-particle":"","parse-names":false,"suffix":""},{"dropping-particle":"","family":"Weintraub","given":"Robert","non-dropping-particle":"","parse-names":false,"suffix":""},{"dropping-particle":"","family":"Weisskopf","given":"Marc G.","non-dropping-particle":"","parse-names":false,"suffix":""},{"dropping-particle":"","family":"Whiteford","given":"Harvey","non-dropping-particle":"","parse-names":false,"suffix":""},{"dropping-particle":"","family":"Wilkinson","given":"James D.","non-dropping-particle":"","parse-names":false,"suffix":""},{"dropping-particle":"","family":"Woolf","given":"Anthony D.","non-dropping-particle":"","parse-names":false,"suffix":""},{"dropping-particle":"","family":"Zheng","given":"Zhi Jie","non-dropping-particle":"","parse-names":false,"suffix":""},{"dropping-particle":"","family":"Murray","given":"Christopher J.L.","non-dropping-particle":"","parse-names":false,"suffix":""}],"container-title":"The Lancet","id":"ITEM-1","issue":"9859","issued":{"date-parts":[["2012"]]},"page":"2129-2143","title":"Common values in assessing health outcomes from disease and injury: Disability weights measurement study for the Global Burden of Disease Study 2010","type":"article-journal","volume":"380"},"uris":["http://www.mendeley.com/documents/?uuid=c460b101-23f0-4afe-ab2a-d4d0b382b90d"]}],"mendeley":{"formattedCitation":"(Salomon et al. 2012)","manualFormatting":"Salomon et al., 2012","plainTextFormattedCitation":"(Salomon et al. 2012)","previouslyFormattedCitation":"&lt;sup&gt;11&lt;/sup&gt;"},"properties":{"noteIndex":0},"schema":"https://github.com/citation-style-language/schema/raw/master/csl-citation.json"}</w:instrText>
            </w:r>
            <w:r>
              <w:rPr>
                <w:rFonts w:cs="Times New Roman"/>
                <w:sz w:val="18"/>
                <w:szCs w:val="18"/>
              </w:rPr>
              <w:fldChar w:fldCharType="separate"/>
            </w:r>
            <w:r>
              <w:rPr>
                <w:rFonts w:cs="Times New Roman"/>
                <w:noProof/>
                <w:sz w:val="18"/>
                <w:szCs w:val="18"/>
              </w:rPr>
              <w:t>Salomon et al., 2012</w:t>
            </w:r>
            <w:r>
              <w:rPr>
                <w:rFonts w:cs="Times New Roman"/>
                <w:sz w:val="18"/>
                <w:szCs w:val="18"/>
              </w:rPr>
              <w:fldChar w:fldCharType="end"/>
            </w:r>
          </w:p>
        </w:tc>
      </w:tr>
      <w:tr w:rsidR="00792164" w14:paraId="1AA9EB3A" w14:textId="77777777" w:rsidTr="009B7CB4">
        <w:trPr>
          <w:jc w:val="center"/>
        </w:trPr>
        <w:tc>
          <w:tcPr>
            <w:tcW w:w="2410" w:type="dxa"/>
            <w:vAlign w:val="center"/>
          </w:tcPr>
          <w:p w14:paraId="28C9434F" w14:textId="77777777" w:rsidR="00792164" w:rsidRDefault="00792164" w:rsidP="009B7CB4">
            <w:pPr>
              <w:ind w:firstLineChars="0" w:firstLine="0"/>
              <w:jc w:val="left"/>
              <w:rPr>
                <w:rFonts w:cs="Times New Roman"/>
                <w:b/>
                <w:bCs/>
                <w:sz w:val="18"/>
                <w:szCs w:val="18"/>
              </w:rPr>
            </w:pPr>
            <w:r>
              <w:rPr>
                <w:rFonts w:cs="Times New Roman"/>
                <w:b/>
                <w:bCs/>
                <w:sz w:val="18"/>
                <w:szCs w:val="18"/>
              </w:rPr>
              <w:t>Costs</w:t>
            </w:r>
          </w:p>
        </w:tc>
        <w:tc>
          <w:tcPr>
            <w:tcW w:w="1413" w:type="dxa"/>
            <w:vAlign w:val="center"/>
          </w:tcPr>
          <w:p w14:paraId="4C27F7F4" w14:textId="77777777" w:rsidR="00792164" w:rsidRDefault="00792164" w:rsidP="009B7CB4">
            <w:pPr>
              <w:ind w:firstLineChars="0" w:firstLine="0"/>
              <w:jc w:val="left"/>
              <w:rPr>
                <w:rFonts w:cs="Times New Roman"/>
                <w:sz w:val="18"/>
                <w:szCs w:val="18"/>
              </w:rPr>
            </w:pPr>
          </w:p>
        </w:tc>
        <w:tc>
          <w:tcPr>
            <w:tcW w:w="1843" w:type="dxa"/>
            <w:vAlign w:val="center"/>
          </w:tcPr>
          <w:p w14:paraId="346025B5" w14:textId="77777777" w:rsidR="00792164" w:rsidRDefault="00792164" w:rsidP="009B7CB4">
            <w:pPr>
              <w:ind w:firstLineChars="0" w:firstLine="0"/>
              <w:jc w:val="left"/>
              <w:rPr>
                <w:rFonts w:cs="Times New Roman"/>
                <w:sz w:val="18"/>
                <w:szCs w:val="18"/>
              </w:rPr>
            </w:pPr>
          </w:p>
        </w:tc>
        <w:tc>
          <w:tcPr>
            <w:tcW w:w="851" w:type="dxa"/>
            <w:vAlign w:val="center"/>
          </w:tcPr>
          <w:p w14:paraId="679350F7" w14:textId="77777777" w:rsidR="00792164" w:rsidRPr="00E04159" w:rsidRDefault="00792164" w:rsidP="009B7CB4">
            <w:pPr>
              <w:ind w:firstLineChars="0" w:firstLine="0"/>
              <w:jc w:val="left"/>
              <w:rPr>
                <w:rFonts w:cs="Times New Roman"/>
                <w:sz w:val="18"/>
                <w:szCs w:val="18"/>
              </w:rPr>
            </w:pPr>
          </w:p>
        </w:tc>
        <w:tc>
          <w:tcPr>
            <w:tcW w:w="1275" w:type="dxa"/>
            <w:vAlign w:val="center"/>
          </w:tcPr>
          <w:p w14:paraId="1996071F" w14:textId="77777777" w:rsidR="00792164" w:rsidRDefault="00792164" w:rsidP="009B7CB4">
            <w:pPr>
              <w:ind w:firstLineChars="0" w:firstLine="0"/>
              <w:jc w:val="left"/>
              <w:rPr>
                <w:rFonts w:cs="Times New Roman"/>
                <w:sz w:val="18"/>
                <w:szCs w:val="18"/>
              </w:rPr>
            </w:pPr>
          </w:p>
        </w:tc>
        <w:tc>
          <w:tcPr>
            <w:tcW w:w="1990" w:type="dxa"/>
            <w:vAlign w:val="center"/>
          </w:tcPr>
          <w:p w14:paraId="2B9BFF9D" w14:textId="77777777" w:rsidR="00792164" w:rsidRDefault="00792164" w:rsidP="009B7CB4">
            <w:pPr>
              <w:ind w:firstLineChars="0" w:firstLine="0"/>
              <w:jc w:val="left"/>
              <w:rPr>
                <w:rFonts w:cs="Times New Roman"/>
                <w:sz w:val="18"/>
                <w:szCs w:val="18"/>
              </w:rPr>
            </w:pPr>
          </w:p>
        </w:tc>
      </w:tr>
      <w:tr w:rsidR="00792164" w:rsidRPr="001A170E" w14:paraId="59EF6314" w14:textId="77777777" w:rsidTr="009B7CB4">
        <w:trPr>
          <w:jc w:val="center"/>
        </w:trPr>
        <w:tc>
          <w:tcPr>
            <w:tcW w:w="2410" w:type="dxa"/>
            <w:vAlign w:val="center"/>
          </w:tcPr>
          <w:p w14:paraId="03B1C499" w14:textId="77777777" w:rsidR="00792164" w:rsidRPr="001A170E" w:rsidRDefault="00792164" w:rsidP="009B7CB4">
            <w:pPr>
              <w:ind w:firstLineChars="0" w:firstLine="0"/>
              <w:jc w:val="left"/>
              <w:rPr>
                <w:rFonts w:cs="Times New Roman"/>
                <w:color w:val="000000" w:themeColor="text1"/>
                <w:sz w:val="18"/>
                <w:szCs w:val="18"/>
              </w:rPr>
            </w:pPr>
            <w:r w:rsidRPr="001A170E">
              <w:rPr>
                <w:rFonts w:cs="Times New Roman"/>
                <w:color w:val="000000" w:themeColor="text1"/>
                <w:sz w:val="18"/>
                <w:szCs w:val="18"/>
              </w:rPr>
              <w:t>Zinc supplementation (per capita), USD</w:t>
            </w:r>
          </w:p>
        </w:tc>
        <w:tc>
          <w:tcPr>
            <w:tcW w:w="1413" w:type="dxa"/>
            <w:vAlign w:val="center"/>
          </w:tcPr>
          <w:p w14:paraId="55CFE1B8" w14:textId="77777777" w:rsidR="00792164" w:rsidRPr="001A170E" w:rsidRDefault="00792164" w:rsidP="009B7CB4">
            <w:pPr>
              <w:ind w:firstLineChars="0" w:firstLine="0"/>
              <w:jc w:val="left"/>
              <w:rPr>
                <w:rFonts w:cs="Times New Roman"/>
                <w:sz w:val="18"/>
                <w:szCs w:val="18"/>
              </w:rPr>
            </w:pPr>
            <w:r w:rsidRPr="001A170E">
              <w:rPr>
                <w:rFonts w:cs="Times New Roman"/>
                <w:sz w:val="18"/>
                <w:szCs w:val="18"/>
              </w:rPr>
              <w:t>6.61</w:t>
            </w:r>
          </w:p>
        </w:tc>
        <w:tc>
          <w:tcPr>
            <w:tcW w:w="1843" w:type="dxa"/>
            <w:vAlign w:val="center"/>
          </w:tcPr>
          <w:p w14:paraId="23133C44" w14:textId="77777777" w:rsidR="00792164" w:rsidRPr="001A170E" w:rsidRDefault="00792164" w:rsidP="009B7CB4">
            <w:pPr>
              <w:ind w:firstLineChars="0" w:firstLine="0"/>
              <w:jc w:val="left"/>
              <w:rPr>
                <w:rFonts w:cs="Times New Roman"/>
                <w:sz w:val="18"/>
                <w:szCs w:val="18"/>
              </w:rPr>
            </w:pPr>
            <w:r w:rsidRPr="001A170E">
              <w:rPr>
                <w:rFonts w:cs="Times New Roman"/>
                <w:sz w:val="18"/>
                <w:szCs w:val="18"/>
              </w:rPr>
              <w:t>4.96, 8.26</w:t>
            </w:r>
          </w:p>
        </w:tc>
        <w:tc>
          <w:tcPr>
            <w:tcW w:w="851" w:type="dxa"/>
            <w:vAlign w:val="center"/>
          </w:tcPr>
          <w:p w14:paraId="33FBD02D" w14:textId="77777777" w:rsidR="00792164" w:rsidRPr="00E04159" w:rsidRDefault="00792164" w:rsidP="009B7CB4">
            <w:pPr>
              <w:ind w:firstLineChars="0" w:firstLine="0"/>
              <w:jc w:val="left"/>
              <w:rPr>
                <w:rFonts w:cs="Times New Roman"/>
                <w:sz w:val="18"/>
                <w:szCs w:val="18"/>
              </w:rPr>
            </w:pPr>
            <w:r w:rsidRPr="00E04159">
              <w:rPr>
                <w:rFonts w:cs="Times New Roman"/>
                <w:sz w:val="18"/>
                <w:szCs w:val="18"/>
              </w:rPr>
              <w:t>6.61</w:t>
            </w:r>
          </w:p>
        </w:tc>
        <w:tc>
          <w:tcPr>
            <w:tcW w:w="1275" w:type="dxa"/>
            <w:vAlign w:val="center"/>
          </w:tcPr>
          <w:p w14:paraId="5E6E0F29" w14:textId="77777777" w:rsidR="00792164" w:rsidRPr="001A170E" w:rsidRDefault="00792164" w:rsidP="009B7CB4">
            <w:pPr>
              <w:ind w:firstLineChars="0" w:firstLine="0"/>
              <w:jc w:val="left"/>
              <w:rPr>
                <w:rFonts w:cs="Times New Roman"/>
                <w:sz w:val="18"/>
                <w:szCs w:val="18"/>
              </w:rPr>
            </w:pPr>
            <w:r w:rsidRPr="001A170E">
              <w:rPr>
                <w:rFonts w:cs="Times New Roman"/>
                <w:sz w:val="18"/>
                <w:szCs w:val="18"/>
              </w:rPr>
              <w:t>γ</w:t>
            </w:r>
          </w:p>
        </w:tc>
        <w:tc>
          <w:tcPr>
            <w:tcW w:w="1990" w:type="dxa"/>
            <w:vAlign w:val="center"/>
          </w:tcPr>
          <w:p w14:paraId="3F48764E" w14:textId="77777777" w:rsidR="00792164" w:rsidRPr="001A170E" w:rsidRDefault="00792164" w:rsidP="009B7CB4">
            <w:pPr>
              <w:ind w:firstLineChars="0" w:firstLine="0"/>
              <w:jc w:val="left"/>
              <w:rPr>
                <w:rFonts w:cs="Times New Roman"/>
                <w:sz w:val="18"/>
                <w:szCs w:val="18"/>
              </w:rPr>
            </w:pPr>
            <w:r w:rsidRPr="001A170E">
              <w:rPr>
                <w:rFonts w:cs="Times New Roman"/>
                <w:sz w:val="18"/>
                <w:szCs w:val="18"/>
              </w:rPr>
              <w:t xml:space="preserve">Derived from </w:t>
            </w:r>
            <w:r w:rsidRPr="001A170E">
              <w:rPr>
                <w:rFonts w:cs="Times New Roman"/>
                <w:sz w:val="18"/>
                <w:szCs w:val="18"/>
              </w:rPr>
              <w:fldChar w:fldCharType="begin" w:fldLock="1"/>
            </w:r>
            <w:r>
              <w:rPr>
                <w:rFonts w:cs="Times New Roman"/>
                <w:sz w:val="18"/>
                <w:szCs w:val="18"/>
              </w:rPr>
              <w:instrText>ADDIN CSL_CITATION {"citationItems":[{"id":"ITEM-1","itemData":{"ISSN":"0022-3166","author":[{"dropping-particle":"","family":"Horton","given":"Sue","non-dropping-particle":"","parse-names":false,"suffix":""}],"container-title":"The Journal of nutrition","id":"ITEM-1","issue":"4","issued":{"date-parts":[["2006"]]},"page":"1068-1071","publisher":"Oxford University Press","title":"The economics of food fortification","type":"article-journal","volume":"136"},"uris":["http://www.mendeley.com/documents/?uuid=a96218dd-6811-4699-a8f3-c8135eb8e276"]}],"mendeley":{"formattedCitation":"(Horton 2006)","manualFormatting":"Horton (2006","plainTextFormattedCitation":"(Horton 2006)","previouslyFormattedCitation":"&lt;sup&gt;12&lt;/sup&gt;"},"properties":{"noteIndex":0},"schema":"https://github.com/citation-style-language/schema/raw/master/csl-citation.json"}</w:instrText>
            </w:r>
            <w:r w:rsidRPr="001A170E">
              <w:rPr>
                <w:rFonts w:cs="Times New Roman"/>
                <w:sz w:val="18"/>
                <w:szCs w:val="18"/>
              </w:rPr>
              <w:fldChar w:fldCharType="separate"/>
            </w:r>
            <w:r w:rsidRPr="001A170E">
              <w:rPr>
                <w:rFonts w:cs="Times New Roman"/>
                <w:noProof/>
                <w:sz w:val="18"/>
                <w:szCs w:val="18"/>
              </w:rPr>
              <w:t>Horton (2006</w:t>
            </w:r>
            <w:r w:rsidRPr="001A170E">
              <w:rPr>
                <w:rFonts w:cs="Times New Roman"/>
                <w:sz w:val="18"/>
                <w:szCs w:val="18"/>
              </w:rPr>
              <w:fldChar w:fldCharType="end"/>
            </w:r>
            <w:r w:rsidRPr="001A170E">
              <w:rPr>
                <w:rFonts w:cs="Times New Roman"/>
                <w:sz w:val="18"/>
                <w:szCs w:val="18"/>
              </w:rPr>
              <w:t>)</w:t>
            </w:r>
          </w:p>
        </w:tc>
      </w:tr>
      <w:tr w:rsidR="00792164" w14:paraId="358389B5" w14:textId="77777777" w:rsidTr="009B7CB4">
        <w:trPr>
          <w:jc w:val="center"/>
        </w:trPr>
        <w:tc>
          <w:tcPr>
            <w:tcW w:w="2410" w:type="dxa"/>
            <w:vAlign w:val="center"/>
          </w:tcPr>
          <w:p w14:paraId="4FB8E0D0" w14:textId="77777777" w:rsidR="00792164" w:rsidRPr="001A170E" w:rsidRDefault="00792164" w:rsidP="009B7CB4">
            <w:pPr>
              <w:ind w:firstLineChars="0" w:firstLine="0"/>
              <w:jc w:val="left"/>
              <w:rPr>
                <w:rFonts w:cs="Times New Roman"/>
                <w:color w:val="000000" w:themeColor="text1"/>
                <w:sz w:val="18"/>
                <w:szCs w:val="18"/>
              </w:rPr>
            </w:pPr>
            <w:r w:rsidRPr="001A170E">
              <w:rPr>
                <w:rFonts w:cs="Times New Roman"/>
                <w:color w:val="000000" w:themeColor="text1"/>
                <w:sz w:val="18"/>
                <w:szCs w:val="18"/>
              </w:rPr>
              <w:t>Food fortification (per capita), USD</w:t>
            </w:r>
          </w:p>
        </w:tc>
        <w:tc>
          <w:tcPr>
            <w:tcW w:w="1413" w:type="dxa"/>
            <w:vAlign w:val="center"/>
          </w:tcPr>
          <w:p w14:paraId="029570A5" w14:textId="77777777" w:rsidR="00792164" w:rsidRPr="001A170E" w:rsidRDefault="00792164" w:rsidP="009B7CB4">
            <w:pPr>
              <w:ind w:firstLineChars="0" w:firstLine="0"/>
              <w:jc w:val="left"/>
              <w:rPr>
                <w:rFonts w:cs="Times New Roman"/>
                <w:sz w:val="18"/>
                <w:szCs w:val="18"/>
              </w:rPr>
            </w:pPr>
            <w:r w:rsidRPr="001A170E">
              <w:rPr>
                <w:rFonts w:cs="Times New Roman"/>
                <w:sz w:val="18"/>
                <w:szCs w:val="18"/>
              </w:rPr>
              <w:t>0.298</w:t>
            </w:r>
          </w:p>
        </w:tc>
        <w:tc>
          <w:tcPr>
            <w:tcW w:w="1843" w:type="dxa"/>
            <w:vAlign w:val="center"/>
          </w:tcPr>
          <w:p w14:paraId="3A0F1EB1" w14:textId="77777777" w:rsidR="00792164" w:rsidRPr="001A170E" w:rsidRDefault="00792164" w:rsidP="009B7CB4">
            <w:pPr>
              <w:ind w:firstLineChars="0" w:firstLine="0"/>
              <w:jc w:val="left"/>
              <w:rPr>
                <w:rFonts w:cs="Times New Roman"/>
                <w:sz w:val="18"/>
                <w:szCs w:val="18"/>
              </w:rPr>
            </w:pPr>
            <w:r w:rsidRPr="001A170E">
              <w:rPr>
                <w:rFonts w:cs="Times New Roman"/>
                <w:sz w:val="18"/>
                <w:szCs w:val="18"/>
              </w:rPr>
              <w:t>0.22, 0.37</w:t>
            </w:r>
          </w:p>
        </w:tc>
        <w:tc>
          <w:tcPr>
            <w:tcW w:w="851" w:type="dxa"/>
            <w:vAlign w:val="center"/>
          </w:tcPr>
          <w:p w14:paraId="71194158" w14:textId="77777777" w:rsidR="00792164" w:rsidRPr="00E04159" w:rsidRDefault="00792164" w:rsidP="009B7CB4">
            <w:pPr>
              <w:ind w:firstLineChars="0" w:firstLine="0"/>
              <w:jc w:val="left"/>
              <w:rPr>
                <w:rFonts w:cs="Times New Roman"/>
                <w:sz w:val="18"/>
                <w:szCs w:val="18"/>
              </w:rPr>
            </w:pPr>
            <w:r w:rsidRPr="00E04159">
              <w:rPr>
                <w:rFonts w:cs="Times New Roman"/>
                <w:sz w:val="18"/>
                <w:szCs w:val="18"/>
              </w:rPr>
              <w:t>0.298</w:t>
            </w:r>
          </w:p>
        </w:tc>
        <w:tc>
          <w:tcPr>
            <w:tcW w:w="1275" w:type="dxa"/>
            <w:vAlign w:val="center"/>
          </w:tcPr>
          <w:p w14:paraId="70ECC407" w14:textId="77777777" w:rsidR="00792164" w:rsidRPr="001A170E" w:rsidRDefault="00792164" w:rsidP="009B7CB4">
            <w:pPr>
              <w:ind w:firstLineChars="0" w:firstLine="0"/>
              <w:jc w:val="left"/>
              <w:rPr>
                <w:rFonts w:cs="Times New Roman"/>
                <w:sz w:val="18"/>
                <w:szCs w:val="18"/>
              </w:rPr>
            </w:pPr>
            <w:r w:rsidRPr="001A170E">
              <w:rPr>
                <w:rFonts w:cs="Times New Roman"/>
                <w:sz w:val="18"/>
                <w:szCs w:val="18"/>
              </w:rPr>
              <w:t>γ</w:t>
            </w:r>
          </w:p>
        </w:tc>
        <w:tc>
          <w:tcPr>
            <w:tcW w:w="1990" w:type="dxa"/>
            <w:vAlign w:val="center"/>
          </w:tcPr>
          <w:p w14:paraId="46293282" w14:textId="77777777" w:rsidR="00792164" w:rsidRDefault="00792164" w:rsidP="009B7CB4">
            <w:pPr>
              <w:ind w:firstLineChars="0" w:firstLine="0"/>
              <w:jc w:val="left"/>
              <w:rPr>
                <w:rFonts w:cs="Times New Roman"/>
                <w:sz w:val="18"/>
                <w:szCs w:val="18"/>
              </w:rPr>
            </w:pPr>
            <w:r w:rsidRPr="001A170E">
              <w:rPr>
                <w:rFonts w:cs="Times New Roman"/>
                <w:sz w:val="18"/>
                <w:szCs w:val="18"/>
              </w:rPr>
              <w:t xml:space="preserve">Derived from </w:t>
            </w:r>
            <w:r w:rsidRPr="001A170E">
              <w:rPr>
                <w:rFonts w:cs="Times New Roman"/>
                <w:sz w:val="18"/>
                <w:szCs w:val="18"/>
              </w:rPr>
              <w:fldChar w:fldCharType="begin" w:fldLock="1"/>
            </w:r>
            <w:r>
              <w:rPr>
                <w:rFonts w:cs="Times New Roman"/>
                <w:sz w:val="18"/>
                <w:szCs w:val="18"/>
              </w:rPr>
              <w:instrText>ADDIN CSL_CITATION {"citationItems":[{"id":"ITEM-1","itemData":{"ISSN":"0022-3166","author":[{"dropping-particle":"","family":"Horton","given":"Sue","non-dropping-particle":"","parse-names":false,"suffix":""}],"container-title":"The Journal of nutrition","id":"ITEM-1","issue":"4","issued":{"date-parts":[["2006"]]},"page":"1068-1071","publisher":"Oxford University Press","title":"The economics of food fortification","type":"article-journal","volume":"136"},"uris":["http://www.mendeley.com/documents/?uuid=a96218dd-6811-4699-a8f3-c8135eb8e276"]}],"mendeley":{"formattedCitation":"(Horton 2006)","manualFormatting":"Horton (2006","plainTextFormattedCitation":"(Horton 2006)","previouslyFormattedCitation":"&lt;sup&gt;12&lt;/sup&gt;"},"properties":{"noteIndex":0},"schema":"https://github.com/citation-style-language/schema/raw/master/csl-citation.json"}</w:instrText>
            </w:r>
            <w:r w:rsidRPr="001A170E">
              <w:rPr>
                <w:rFonts w:cs="Times New Roman"/>
                <w:sz w:val="18"/>
                <w:szCs w:val="18"/>
              </w:rPr>
              <w:fldChar w:fldCharType="separate"/>
            </w:r>
            <w:r w:rsidRPr="001A170E">
              <w:rPr>
                <w:rFonts w:cs="Times New Roman"/>
                <w:noProof/>
                <w:sz w:val="18"/>
                <w:szCs w:val="18"/>
              </w:rPr>
              <w:t>Horton (2006</w:t>
            </w:r>
            <w:r w:rsidRPr="001A170E">
              <w:rPr>
                <w:rFonts w:cs="Times New Roman"/>
                <w:sz w:val="18"/>
                <w:szCs w:val="18"/>
              </w:rPr>
              <w:fldChar w:fldCharType="end"/>
            </w:r>
            <w:r w:rsidRPr="001A170E">
              <w:rPr>
                <w:rFonts w:cs="Times New Roman"/>
                <w:sz w:val="18"/>
                <w:szCs w:val="18"/>
              </w:rPr>
              <w:t>)</w:t>
            </w:r>
          </w:p>
        </w:tc>
      </w:tr>
      <w:tr w:rsidR="00792164" w14:paraId="24682DC6" w14:textId="77777777" w:rsidTr="009B7CB4">
        <w:trPr>
          <w:jc w:val="center"/>
        </w:trPr>
        <w:tc>
          <w:tcPr>
            <w:tcW w:w="2410" w:type="dxa"/>
            <w:vAlign w:val="center"/>
          </w:tcPr>
          <w:p w14:paraId="1246AE7D" w14:textId="77777777" w:rsidR="00792164" w:rsidRPr="0048701F" w:rsidRDefault="00792164" w:rsidP="009B7CB4">
            <w:pPr>
              <w:ind w:firstLineChars="0" w:firstLine="0"/>
              <w:jc w:val="left"/>
              <w:rPr>
                <w:rFonts w:cs="Times New Roman"/>
                <w:color w:val="000000" w:themeColor="text1"/>
                <w:sz w:val="18"/>
                <w:szCs w:val="18"/>
              </w:rPr>
            </w:pPr>
            <w:r w:rsidRPr="0048701F">
              <w:rPr>
                <w:rFonts w:cs="Times New Roman"/>
                <w:color w:val="000000" w:themeColor="text1"/>
                <w:sz w:val="18"/>
                <w:szCs w:val="18"/>
              </w:rPr>
              <w:t>Biofortification with breeding, USD</w:t>
            </w:r>
          </w:p>
        </w:tc>
        <w:tc>
          <w:tcPr>
            <w:tcW w:w="1413" w:type="dxa"/>
            <w:vAlign w:val="center"/>
          </w:tcPr>
          <w:p w14:paraId="3CA09AB2" w14:textId="77777777" w:rsidR="00792164" w:rsidRPr="0048701F" w:rsidRDefault="00792164" w:rsidP="009B7CB4">
            <w:pPr>
              <w:ind w:firstLineChars="0" w:firstLine="0"/>
              <w:jc w:val="left"/>
              <w:rPr>
                <w:rFonts w:cs="Times New Roman"/>
                <w:sz w:val="18"/>
                <w:szCs w:val="18"/>
              </w:rPr>
            </w:pPr>
            <w:r w:rsidRPr="0048701F">
              <w:rPr>
                <w:rFonts w:cs="Times New Roman"/>
                <w:sz w:val="18"/>
                <w:szCs w:val="18"/>
              </w:rPr>
              <w:t>0.01</w:t>
            </w:r>
          </w:p>
        </w:tc>
        <w:tc>
          <w:tcPr>
            <w:tcW w:w="1843" w:type="dxa"/>
            <w:vAlign w:val="center"/>
          </w:tcPr>
          <w:p w14:paraId="785B7BB9" w14:textId="77777777" w:rsidR="00792164" w:rsidRPr="0048701F" w:rsidRDefault="00792164" w:rsidP="009B7CB4">
            <w:pPr>
              <w:ind w:firstLineChars="0" w:firstLine="0"/>
              <w:jc w:val="left"/>
              <w:rPr>
                <w:rFonts w:cs="Times New Roman"/>
                <w:sz w:val="18"/>
                <w:szCs w:val="18"/>
              </w:rPr>
            </w:pPr>
            <w:r w:rsidRPr="0048701F">
              <w:rPr>
                <w:rFonts w:cs="Times New Roman"/>
                <w:sz w:val="18"/>
                <w:szCs w:val="18"/>
              </w:rPr>
              <w:t>0.008, 0.013</w:t>
            </w:r>
          </w:p>
        </w:tc>
        <w:tc>
          <w:tcPr>
            <w:tcW w:w="851" w:type="dxa"/>
            <w:vAlign w:val="center"/>
          </w:tcPr>
          <w:p w14:paraId="68A658F9" w14:textId="77777777" w:rsidR="00792164" w:rsidRPr="00E04159" w:rsidRDefault="00792164" w:rsidP="009B7CB4">
            <w:pPr>
              <w:ind w:firstLineChars="0" w:firstLine="0"/>
              <w:jc w:val="left"/>
              <w:rPr>
                <w:rFonts w:cs="Times New Roman"/>
                <w:sz w:val="18"/>
                <w:szCs w:val="18"/>
              </w:rPr>
            </w:pPr>
            <w:r w:rsidRPr="00E04159">
              <w:rPr>
                <w:rFonts w:cs="Times New Roman"/>
                <w:sz w:val="18"/>
                <w:szCs w:val="18"/>
              </w:rPr>
              <w:t>0.01</w:t>
            </w:r>
          </w:p>
        </w:tc>
        <w:tc>
          <w:tcPr>
            <w:tcW w:w="1275" w:type="dxa"/>
            <w:vAlign w:val="center"/>
          </w:tcPr>
          <w:p w14:paraId="50B03088" w14:textId="77777777" w:rsidR="00792164" w:rsidRPr="0048701F" w:rsidRDefault="00792164" w:rsidP="009B7CB4">
            <w:pPr>
              <w:ind w:firstLineChars="0" w:firstLine="0"/>
              <w:jc w:val="left"/>
              <w:rPr>
                <w:rFonts w:cs="Times New Roman"/>
                <w:sz w:val="18"/>
                <w:szCs w:val="18"/>
              </w:rPr>
            </w:pPr>
            <w:r w:rsidRPr="0048701F">
              <w:rPr>
                <w:rFonts w:cs="Times New Roman"/>
                <w:sz w:val="18"/>
                <w:szCs w:val="18"/>
              </w:rPr>
              <w:t>γ</w:t>
            </w:r>
          </w:p>
        </w:tc>
        <w:tc>
          <w:tcPr>
            <w:tcW w:w="1990" w:type="dxa"/>
            <w:vAlign w:val="center"/>
          </w:tcPr>
          <w:p w14:paraId="1242B6B6" w14:textId="77777777" w:rsidR="00792164" w:rsidRDefault="00792164" w:rsidP="009B7CB4">
            <w:pPr>
              <w:ind w:firstLineChars="0" w:firstLine="0"/>
              <w:jc w:val="left"/>
              <w:rPr>
                <w:rFonts w:cs="Times New Roman"/>
                <w:sz w:val="18"/>
                <w:szCs w:val="18"/>
              </w:rPr>
            </w:pPr>
            <w:r w:rsidRPr="0048701F">
              <w:rPr>
                <w:rFonts w:cs="Times New Roman"/>
                <w:sz w:val="18"/>
                <w:szCs w:val="18"/>
              </w:rPr>
              <w:t xml:space="preserve">Derived from </w:t>
            </w:r>
            <w:r w:rsidRPr="0048701F">
              <w:rPr>
                <w:rFonts w:cs="Times New Roman"/>
                <w:sz w:val="18"/>
                <w:szCs w:val="18"/>
              </w:rPr>
              <w:fldChar w:fldCharType="begin" w:fldLock="1"/>
            </w:r>
            <w:r>
              <w:rPr>
                <w:rFonts w:cs="Times New Roman"/>
                <w:sz w:val="18"/>
                <w:szCs w:val="18"/>
              </w:rPr>
              <w:instrText>ADDIN CSL_CITATION {"citationItems":[{"id":"ITEM-1","itemData":{"author":[{"dropping-particle":"","family":"Li","given":"Luping","non-dropping-particle":"","parse-names":false,"suffix":""},{"dropping-particle":"","family":"Zhang","given":"Jinlei","non-dropping-particle":"","parse-names":false,"suffix":""}],"container-title":"Current Biotechnology( in Chinese)","id":"ITEM-1","issue":"6","issued":{"date-parts":[["2016"]]},"page":"414-421","title":"The Cost-benefit and Cost-effectiveness of HarvestPlus-China Program: an Ex-ante Analysis of Biofortified Iron-rich Wheat in China","type":"article-journal","volume":"6"},"uris":["http://www.mendeley.com/documents/?uuid=d13d270c-af4c-4620-83bf-b467e2e854fe"]}],"mendeley":{"formattedCitation":"(Li and Zhang 2016)","manualFormatting":"Li &amp; Zhang (2016)","plainTextFormattedCitation":"(Li and Zhang 2016)","previouslyFormattedCitation":"&lt;sup&gt;13&lt;/sup&gt;"},"properties":{"noteIndex":0},"schema":"https://github.com/citation-style-language/schema/raw/master/csl-citation.json"}</w:instrText>
            </w:r>
            <w:r w:rsidRPr="0048701F">
              <w:rPr>
                <w:rFonts w:cs="Times New Roman"/>
                <w:sz w:val="18"/>
                <w:szCs w:val="18"/>
              </w:rPr>
              <w:fldChar w:fldCharType="separate"/>
            </w:r>
            <w:r w:rsidRPr="0048701F">
              <w:rPr>
                <w:rFonts w:cs="Times New Roman"/>
                <w:noProof/>
                <w:sz w:val="18"/>
                <w:szCs w:val="18"/>
              </w:rPr>
              <w:t>Li &amp; Zhang (2016)</w:t>
            </w:r>
            <w:r w:rsidRPr="0048701F">
              <w:rPr>
                <w:rFonts w:cs="Times New Roman"/>
                <w:sz w:val="18"/>
                <w:szCs w:val="18"/>
              </w:rPr>
              <w:fldChar w:fldCharType="end"/>
            </w:r>
          </w:p>
        </w:tc>
      </w:tr>
      <w:tr w:rsidR="00792164" w14:paraId="63E1F61C" w14:textId="77777777" w:rsidTr="009B7CB4">
        <w:trPr>
          <w:jc w:val="center"/>
        </w:trPr>
        <w:tc>
          <w:tcPr>
            <w:tcW w:w="2410" w:type="dxa"/>
            <w:vAlign w:val="center"/>
          </w:tcPr>
          <w:p w14:paraId="4BB0CD9C" w14:textId="77777777" w:rsidR="00792164" w:rsidRPr="0048701F" w:rsidRDefault="00792164" w:rsidP="009B7CB4">
            <w:pPr>
              <w:ind w:firstLineChars="0" w:firstLine="0"/>
              <w:jc w:val="left"/>
              <w:rPr>
                <w:rFonts w:cs="Times New Roman"/>
                <w:sz w:val="18"/>
                <w:szCs w:val="18"/>
              </w:rPr>
            </w:pPr>
            <w:r w:rsidRPr="0048701F">
              <w:rPr>
                <w:rFonts w:cs="Times New Roman"/>
                <w:sz w:val="18"/>
                <w:szCs w:val="18"/>
              </w:rPr>
              <w:lastRenderedPageBreak/>
              <w:t>Biofortification with zinc fertilizer, USD</w:t>
            </w:r>
          </w:p>
        </w:tc>
        <w:tc>
          <w:tcPr>
            <w:tcW w:w="1413" w:type="dxa"/>
            <w:vAlign w:val="center"/>
          </w:tcPr>
          <w:p w14:paraId="58CCBADA" w14:textId="77777777" w:rsidR="00792164" w:rsidRPr="0048701F" w:rsidRDefault="00792164" w:rsidP="009B7CB4">
            <w:pPr>
              <w:ind w:firstLineChars="0" w:firstLine="0"/>
              <w:jc w:val="left"/>
              <w:rPr>
                <w:rFonts w:cs="Times New Roman"/>
                <w:sz w:val="18"/>
                <w:szCs w:val="18"/>
              </w:rPr>
            </w:pPr>
            <w:r w:rsidRPr="0048701F">
              <w:rPr>
                <w:rFonts w:cs="Times New Roman"/>
                <w:sz w:val="18"/>
                <w:szCs w:val="18"/>
              </w:rPr>
              <w:t>0.2</w:t>
            </w:r>
          </w:p>
        </w:tc>
        <w:tc>
          <w:tcPr>
            <w:tcW w:w="1843" w:type="dxa"/>
            <w:vAlign w:val="center"/>
          </w:tcPr>
          <w:p w14:paraId="41292D97" w14:textId="77777777" w:rsidR="00792164" w:rsidRDefault="00792164" w:rsidP="009B7CB4">
            <w:pPr>
              <w:ind w:firstLineChars="0" w:firstLine="0"/>
              <w:jc w:val="left"/>
              <w:rPr>
                <w:rFonts w:cs="Times New Roman"/>
                <w:sz w:val="18"/>
                <w:szCs w:val="18"/>
              </w:rPr>
            </w:pPr>
            <w:r>
              <w:rPr>
                <w:rFonts w:cs="Times New Roman"/>
                <w:sz w:val="18"/>
                <w:szCs w:val="18"/>
              </w:rPr>
              <w:t>0.15, 0.25</w:t>
            </w:r>
          </w:p>
        </w:tc>
        <w:tc>
          <w:tcPr>
            <w:tcW w:w="851" w:type="dxa"/>
            <w:vAlign w:val="center"/>
          </w:tcPr>
          <w:p w14:paraId="63C6BF03" w14:textId="77777777" w:rsidR="00792164" w:rsidRPr="00E04159" w:rsidRDefault="00792164" w:rsidP="009B7CB4">
            <w:pPr>
              <w:ind w:firstLineChars="0" w:firstLine="0"/>
              <w:jc w:val="left"/>
              <w:rPr>
                <w:rFonts w:cs="Times New Roman"/>
                <w:sz w:val="18"/>
                <w:szCs w:val="18"/>
              </w:rPr>
            </w:pPr>
            <w:r w:rsidRPr="00E04159">
              <w:rPr>
                <w:rFonts w:cs="Times New Roman"/>
                <w:sz w:val="18"/>
                <w:szCs w:val="18"/>
              </w:rPr>
              <w:t>0.2</w:t>
            </w:r>
          </w:p>
        </w:tc>
        <w:tc>
          <w:tcPr>
            <w:tcW w:w="1275" w:type="dxa"/>
            <w:vAlign w:val="center"/>
          </w:tcPr>
          <w:p w14:paraId="5A9AC907" w14:textId="77777777" w:rsidR="00792164" w:rsidRDefault="00792164" w:rsidP="009B7CB4">
            <w:pPr>
              <w:ind w:firstLineChars="0" w:firstLine="0"/>
              <w:jc w:val="left"/>
              <w:rPr>
                <w:rFonts w:cs="Times New Roman"/>
                <w:sz w:val="18"/>
                <w:szCs w:val="18"/>
              </w:rPr>
            </w:pPr>
            <w:r>
              <w:rPr>
                <w:rFonts w:cs="Times New Roman"/>
                <w:sz w:val="18"/>
                <w:szCs w:val="18"/>
              </w:rPr>
              <w:t>γ</w:t>
            </w:r>
          </w:p>
        </w:tc>
        <w:tc>
          <w:tcPr>
            <w:tcW w:w="1990" w:type="dxa"/>
            <w:vAlign w:val="center"/>
          </w:tcPr>
          <w:p w14:paraId="7F1F03CE" w14:textId="26448A81" w:rsidR="00792164" w:rsidRDefault="00792164" w:rsidP="009B7CB4">
            <w:pPr>
              <w:ind w:firstLineChars="0" w:firstLine="0"/>
              <w:jc w:val="left"/>
              <w:rPr>
                <w:rFonts w:cs="Times New Roman"/>
                <w:sz w:val="18"/>
                <w:szCs w:val="18"/>
              </w:rPr>
            </w:pPr>
            <w:r>
              <w:rPr>
                <w:rFonts w:cs="Times New Roman"/>
                <w:sz w:val="18"/>
                <w:szCs w:val="18"/>
              </w:rPr>
              <w:t xml:space="preserve">Derived from zinc fertilizer usage data by </w:t>
            </w:r>
            <w:r>
              <w:rPr>
                <w:rFonts w:cs="Times New Roman"/>
                <w:sz w:val="18"/>
                <w:szCs w:val="18"/>
              </w:rPr>
              <w:fldChar w:fldCharType="begin" w:fldLock="1"/>
            </w:r>
            <w:r>
              <w:rPr>
                <w:rFonts w:cs="Times New Roman"/>
                <w:sz w:val="18"/>
                <w:szCs w:val="18"/>
              </w:rPr>
              <w:instrText>ADDIN CSL_CITATION {"citationItems":[{"id":"ITEM-1","itemData":{"author":[{"dropping-particle":"","family":"Liu","given":"Xinbao","non-dropping-particle":"","parse-names":false,"suffix":""},{"dropping-particle":"","family":"Zhu","given":"Tianduo","non-dropping-particle":"","parse-names":false,"suffix":""},{"dropping-particle":"","family":"Yang","given":"Qing","non-dropping-particle":"","parse-names":false,"suffix":""},{"dropping-particle":"","family":"Li","given":"Chunhua","non-dropping-particle":"","parse-names":false,"suffix":""}],"container-title":"Soil and Fertilizer Sciences in China","id":"ITEM-1","issued":{"date-parts":[["2003"]]},"page":"3-6+9","title":"Residual Effect of Zinc Application on Crop yield, Zinc Concentration in Crop Grain and Soil Available Zinc","type":"article-journal","volume":"1"},"uris":["http://www.mendeley.com/documents/?uuid=b3e91302-b3e1-41d0-b631-69def500015c"]}],"mendeley":{"formattedCitation":"(Liu et al. 2003)","manualFormatting":"Liu et al. (2003)","plainTextFormattedCitation":"(Liu et al. 2003)","previouslyFormattedCitation":"&lt;sup&gt;14&lt;/sup&gt;"},"properties":{"noteIndex":0},"schema":"https://github.com/citation-style-language/schema/raw/master/csl-citation.json"}</w:instrText>
            </w:r>
            <w:r>
              <w:rPr>
                <w:rFonts w:cs="Times New Roman"/>
                <w:sz w:val="18"/>
                <w:szCs w:val="18"/>
              </w:rPr>
              <w:fldChar w:fldCharType="separate"/>
            </w:r>
            <w:r w:rsidR="00287326">
              <w:rPr>
                <w:rFonts w:cs="Times New Roman"/>
                <w:noProof/>
                <w:sz w:val="18"/>
                <w:szCs w:val="18"/>
              </w:rPr>
              <w:t>Wang</w:t>
            </w:r>
            <w:r>
              <w:rPr>
                <w:rFonts w:cs="Times New Roman"/>
                <w:noProof/>
                <w:sz w:val="18"/>
                <w:szCs w:val="18"/>
              </w:rPr>
              <w:t xml:space="preserve"> et al. (2003)</w:t>
            </w:r>
            <w:r>
              <w:rPr>
                <w:rFonts w:cs="Times New Roman"/>
                <w:sz w:val="18"/>
                <w:szCs w:val="18"/>
              </w:rPr>
              <w:fldChar w:fldCharType="end"/>
            </w:r>
            <w:r>
              <w:rPr>
                <w:rFonts w:cs="Times New Roman"/>
                <w:sz w:val="18"/>
                <w:szCs w:val="18"/>
              </w:rPr>
              <w:t xml:space="preserve"> and online zinc fertilizer prices as listed below</w:t>
            </w:r>
          </w:p>
        </w:tc>
      </w:tr>
      <w:tr w:rsidR="00792164" w14:paraId="3DB7CDE3" w14:textId="77777777" w:rsidTr="009B7CB4">
        <w:trPr>
          <w:jc w:val="center"/>
        </w:trPr>
        <w:tc>
          <w:tcPr>
            <w:tcW w:w="2410" w:type="dxa"/>
            <w:vAlign w:val="center"/>
          </w:tcPr>
          <w:p w14:paraId="6EAB8F2C" w14:textId="77777777" w:rsidR="00792164" w:rsidRDefault="00792164" w:rsidP="009B7CB4">
            <w:pPr>
              <w:ind w:firstLineChars="0" w:firstLine="0"/>
              <w:jc w:val="left"/>
              <w:rPr>
                <w:rFonts w:cs="Times New Roman"/>
                <w:color w:val="000000" w:themeColor="text1"/>
                <w:sz w:val="18"/>
                <w:szCs w:val="18"/>
              </w:rPr>
            </w:pPr>
            <w:r>
              <w:rPr>
                <w:rFonts w:cs="Times New Roman"/>
                <w:color w:val="000000" w:themeColor="text1"/>
                <w:sz w:val="18"/>
                <w:szCs w:val="18"/>
              </w:rPr>
              <w:t>Zinc fertilizer (ZnSO</w:t>
            </w:r>
            <w:r>
              <w:rPr>
                <w:rFonts w:cs="Times New Roman"/>
                <w:color w:val="000000" w:themeColor="text1"/>
                <w:sz w:val="18"/>
                <w:szCs w:val="18"/>
                <w:vertAlign w:val="subscript"/>
              </w:rPr>
              <w:t>4</w:t>
            </w:r>
            <w:r>
              <w:rPr>
                <w:rFonts w:cs="Times New Roman"/>
                <w:color w:val="000000" w:themeColor="text1"/>
                <w:sz w:val="18"/>
                <w:szCs w:val="18"/>
              </w:rPr>
              <w:t>.7H</w:t>
            </w:r>
            <w:r>
              <w:rPr>
                <w:rFonts w:cs="Times New Roman"/>
                <w:color w:val="000000" w:themeColor="text1"/>
                <w:sz w:val="18"/>
                <w:szCs w:val="18"/>
                <w:vertAlign w:val="subscript"/>
              </w:rPr>
              <w:t>2</w:t>
            </w:r>
            <w:r>
              <w:rPr>
                <w:rFonts w:cs="Times New Roman"/>
                <w:color w:val="000000" w:themeColor="text1"/>
                <w:sz w:val="18"/>
                <w:szCs w:val="18"/>
              </w:rPr>
              <w:t>O) usage per hectare, kg</w:t>
            </w:r>
          </w:p>
        </w:tc>
        <w:tc>
          <w:tcPr>
            <w:tcW w:w="1413" w:type="dxa"/>
            <w:vAlign w:val="center"/>
          </w:tcPr>
          <w:p w14:paraId="46A0869E" w14:textId="77777777" w:rsidR="00792164" w:rsidRDefault="00792164" w:rsidP="009B7CB4">
            <w:pPr>
              <w:ind w:firstLineChars="0" w:firstLine="0"/>
              <w:jc w:val="left"/>
              <w:rPr>
                <w:rFonts w:cs="Times New Roman"/>
                <w:sz w:val="18"/>
                <w:szCs w:val="18"/>
              </w:rPr>
            </w:pPr>
            <w:r>
              <w:rPr>
                <w:rFonts w:cs="Times New Roman"/>
                <w:sz w:val="18"/>
                <w:szCs w:val="18"/>
              </w:rPr>
              <w:t>30</w:t>
            </w:r>
          </w:p>
        </w:tc>
        <w:tc>
          <w:tcPr>
            <w:tcW w:w="1843" w:type="dxa"/>
            <w:vAlign w:val="center"/>
          </w:tcPr>
          <w:p w14:paraId="17592A27"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851" w:type="dxa"/>
            <w:vAlign w:val="center"/>
          </w:tcPr>
          <w:p w14:paraId="52B2C9F9" w14:textId="77777777" w:rsidR="00792164" w:rsidRPr="00E04159" w:rsidRDefault="00792164" w:rsidP="009B7CB4">
            <w:pPr>
              <w:ind w:firstLineChars="0" w:firstLine="0"/>
              <w:jc w:val="left"/>
              <w:rPr>
                <w:rFonts w:cs="Times New Roman"/>
                <w:sz w:val="18"/>
                <w:szCs w:val="18"/>
              </w:rPr>
            </w:pPr>
            <w:r w:rsidRPr="00E04159">
              <w:rPr>
                <w:rFonts w:cs="Times New Roman"/>
                <w:sz w:val="18"/>
                <w:szCs w:val="18"/>
              </w:rPr>
              <w:t>-</w:t>
            </w:r>
          </w:p>
        </w:tc>
        <w:tc>
          <w:tcPr>
            <w:tcW w:w="1275" w:type="dxa"/>
            <w:vAlign w:val="center"/>
          </w:tcPr>
          <w:p w14:paraId="2FFB2AF4"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1990" w:type="dxa"/>
            <w:vAlign w:val="center"/>
          </w:tcPr>
          <w:p w14:paraId="51AB8FC8" w14:textId="0EC50CF7" w:rsidR="00792164" w:rsidRDefault="00792164" w:rsidP="009B7CB4">
            <w:pPr>
              <w:ind w:firstLineChars="0" w:firstLine="0"/>
              <w:jc w:val="left"/>
              <w:rPr>
                <w:rFonts w:cs="Times New Roman"/>
                <w:sz w:val="18"/>
                <w:szCs w:val="18"/>
              </w:rPr>
            </w:pPr>
            <w:r>
              <w:rPr>
                <w:rFonts w:cs="Times New Roman"/>
                <w:sz w:val="18"/>
                <w:szCs w:val="18"/>
              </w:rPr>
              <w:fldChar w:fldCharType="begin" w:fldLock="1"/>
            </w:r>
            <w:r>
              <w:rPr>
                <w:rFonts w:cs="Times New Roman"/>
                <w:sz w:val="18"/>
                <w:szCs w:val="18"/>
              </w:rPr>
              <w:instrText>ADDIN CSL_CITATION {"citationItems":[{"id":"ITEM-1","itemData":{"author":[{"dropping-particle":"","family":"Liu","given":"Xinbao","non-dropping-particle":"","parse-names":false,"suffix":""},{"dropping-particle":"","family":"Zhu","given":"Tianduo","non-dropping-particle":"","parse-names":false,"suffix":""},{"dropping-particle":"","family":"Yang","given":"Qing","non-dropping-particle":"","parse-names":false,"suffix":""},{"dropping-particle":"","family":"Li","given":"Chunhua","non-dropping-particle":"","parse-names":false,"suffix":""}],"container-title":"Soil and Fertilizer Sciences in China","id":"ITEM-1","issued":{"date-parts":[["2003"]]},"page":"3-6+9","title":"Residual Effect of Zinc Application on Crop yield, Zinc Concentration in Crop Grain and Soil Available Zinc","type":"article-journal","volume":"1"},"uris":["http://www.mendeley.com/documents/?uuid=b3e91302-b3e1-41d0-b631-69def500015c"]}],"mendeley":{"formattedCitation":"(Liu et al. 2003)","manualFormatting":"Liu et al. (2003)","plainTextFormattedCitation":"(Liu et al. 2003)","previouslyFormattedCitation":"&lt;sup&gt;14&lt;/sup&gt;"},"properties":{"noteIndex":0},"schema":"https://github.com/citation-style-language/schema/raw/master/csl-citation.json"}</w:instrText>
            </w:r>
            <w:r>
              <w:rPr>
                <w:rFonts w:cs="Times New Roman"/>
                <w:sz w:val="18"/>
                <w:szCs w:val="18"/>
              </w:rPr>
              <w:fldChar w:fldCharType="separate"/>
            </w:r>
            <w:r w:rsidR="00287326">
              <w:rPr>
                <w:rFonts w:cs="Times New Roman"/>
                <w:noProof/>
                <w:sz w:val="18"/>
                <w:szCs w:val="18"/>
              </w:rPr>
              <w:t>Wang</w:t>
            </w:r>
            <w:r>
              <w:rPr>
                <w:rFonts w:cs="Times New Roman"/>
                <w:noProof/>
                <w:sz w:val="18"/>
                <w:szCs w:val="18"/>
              </w:rPr>
              <w:t xml:space="preserve"> et al. (2003)</w:t>
            </w:r>
            <w:r>
              <w:rPr>
                <w:rFonts w:cs="Times New Roman"/>
                <w:sz w:val="18"/>
                <w:szCs w:val="18"/>
              </w:rPr>
              <w:fldChar w:fldCharType="end"/>
            </w:r>
          </w:p>
        </w:tc>
      </w:tr>
      <w:tr w:rsidR="00792164" w14:paraId="0D513937" w14:textId="77777777" w:rsidTr="009B7CB4">
        <w:trPr>
          <w:jc w:val="center"/>
        </w:trPr>
        <w:tc>
          <w:tcPr>
            <w:tcW w:w="2410" w:type="dxa"/>
            <w:vAlign w:val="center"/>
          </w:tcPr>
          <w:p w14:paraId="4F625C53" w14:textId="77777777" w:rsidR="00792164" w:rsidRDefault="00792164" w:rsidP="009B7CB4">
            <w:pPr>
              <w:ind w:firstLineChars="0" w:firstLine="0"/>
              <w:jc w:val="left"/>
              <w:rPr>
                <w:rFonts w:cs="Times New Roman"/>
                <w:color w:val="000000" w:themeColor="text1"/>
                <w:sz w:val="18"/>
                <w:szCs w:val="18"/>
              </w:rPr>
            </w:pPr>
            <w:r>
              <w:rPr>
                <w:rFonts w:cs="Times New Roman"/>
                <w:color w:val="000000" w:themeColor="text1"/>
                <w:sz w:val="18"/>
                <w:szCs w:val="18"/>
              </w:rPr>
              <w:t>Zinc fertilizer (ZnSO</w:t>
            </w:r>
            <w:r>
              <w:rPr>
                <w:rFonts w:cs="Times New Roman"/>
                <w:color w:val="000000" w:themeColor="text1"/>
                <w:sz w:val="18"/>
                <w:szCs w:val="18"/>
                <w:vertAlign w:val="subscript"/>
              </w:rPr>
              <w:t>4</w:t>
            </w:r>
            <w:r>
              <w:rPr>
                <w:rFonts w:cs="Times New Roman"/>
                <w:color w:val="000000" w:themeColor="text1"/>
                <w:sz w:val="18"/>
                <w:szCs w:val="18"/>
              </w:rPr>
              <w:t>.7H</w:t>
            </w:r>
            <w:r>
              <w:rPr>
                <w:rFonts w:cs="Times New Roman"/>
                <w:color w:val="000000" w:themeColor="text1"/>
                <w:sz w:val="18"/>
                <w:szCs w:val="18"/>
                <w:vertAlign w:val="subscript"/>
              </w:rPr>
              <w:t>2</w:t>
            </w:r>
            <w:r>
              <w:rPr>
                <w:rFonts w:cs="Times New Roman"/>
                <w:color w:val="000000" w:themeColor="text1"/>
                <w:sz w:val="18"/>
                <w:szCs w:val="18"/>
              </w:rPr>
              <w:t>O) price per kg, USD</w:t>
            </w:r>
          </w:p>
        </w:tc>
        <w:tc>
          <w:tcPr>
            <w:tcW w:w="1413" w:type="dxa"/>
            <w:vAlign w:val="center"/>
          </w:tcPr>
          <w:p w14:paraId="0B7CB459" w14:textId="77777777" w:rsidR="00792164" w:rsidRDefault="00792164" w:rsidP="009B7CB4">
            <w:pPr>
              <w:ind w:firstLineChars="0" w:firstLine="0"/>
              <w:jc w:val="left"/>
              <w:rPr>
                <w:rFonts w:cs="Times New Roman"/>
                <w:sz w:val="18"/>
                <w:szCs w:val="18"/>
              </w:rPr>
            </w:pPr>
            <w:r>
              <w:rPr>
                <w:rFonts w:cs="Times New Roman"/>
                <w:sz w:val="18"/>
                <w:szCs w:val="18"/>
              </w:rPr>
              <w:t>0.6</w:t>
            </w:r>
          </w:p>
        </w:tc>
        <w:tc>
          <w:tcPr>
            <w:tcW w:w="1843" w:type="dxa"/>
            <w:vAlign w:val="center"/>
          </w:tcPr>
          <w:p w14:paraId="4A1F65CA"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851" w:type="dxa"/>
            <w:vAlign w:val="center"/>
          </w:tcPr>
          <w:p w14:paraId="3190DDB6" w14:textId="77777777" w:rsidR="00792164" w:rsidRPr="00E04159" w:rsidRDefault="00792164" w:rsidP="009B7CB4">
            <w:pPr>
              <w:ind w:firstLineChars="0" w:firstLine="0"/>
              <w:jc w:val="left"/>
              <w:rPr>
                <w:rFonts w:cs="Times New Roman"/>
                <w:sz w:val="18"/>
                <w:szCs w:val="18"/>
              </w:rPr>
            </w:pPr>
            <w:r w:rsidRPr="00E04159">
              <w:rPr>
                <w:rFonts w:cs="Times New Roman"/>
                <w:sz w:val="18"/>
                <w:szCs w:val="18"/>
              </w:rPr>
              <w:t>-</w:t>
            </w:r>
          </w:p>
        </w:tc>
        <w:tc>
          <w:tcPr>
            <w:tcW w:w="1275" w:type="dxa"/>
            <w:vAlign w:val="center"/>
          </w:tcPr>
          <w:p w14:paraId="1D96551A"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1990" w:type="dxa"/>
            <w:vAlign w:val="center"/>
          </w:tcPr>
          <w:p w14:paraId="2B4B92F3" w14:textId="77777777" w:rsidR="00792164" w:rsidRDefault="00792164" w:rsidP="009B7CB4">
            <w:pPr>
              <w:ind w:firstLineChars="0" w:firstLine="0"/>
              <w:jc w:val="left"/>
              <w:rPr>
                <w:rFonts w:cs="Times New Roman"/>
                <w:sz w:val="18"/>
                <w:szCs w:val="18"/>
              </w:rPr>
            </w:pPr>
            <w:r>
              <w:rPr>
                <w:rFonts w:cs="Times New Roman"/>
                <w:sz w:val="18"/>
                <w:szCs w:val="18"/>
              </w:rPr>
              <w:t>Authors estimate based on the online price information</w:t>
            </w:r>
          </w:p>
        </w:tc>
      </w:tr>
      <w:tr w:rsidR="00792164" w14:paraId="0D0E9789" w14:textId="77777777" w:rsidTr="009B7CB4">
        <w:trPr>
          <w:jc w:val="center"/>
        </w:trPr>
        <w:tc>
          <w:tcPr>
            <w:tcW w:w="2410" w:type="dxa"/>
            <w:vAlign w:val="center"/>
          </w:tcPr>
          <w:p w14:paraId="000CAAA8" w14:textId="77777777" w:rsidR="00792164" w:rsidRDefault="00792164" w:rsidP="009B7CB4">
            <w:pPr>
              <w:ind w:firstLineChars="0" w:firstLine="0"/>
              <w:jc w:val="left"/>
              <w:rPr>
                <w:rFonts w:cs="Times New Roman"/>
                <w:color w:val="000000" w:themeColor="text1"/>
                <w:sz w:val="18"/>
                <w:szCs w:val="18"/>
              </w:rPr>
            </w:pPr>
            <w:r>
              <w:rPr>
                <w:rFonts w:cs="Times New Roman" w:hint="eastAsia"/>
                <w:color w:val="000000" w:themeColor="text1"/>
                <w:sz w:val="18"/>
                <w:szCs w:val="18"/>
              </w:rPr>
              <w:t>W</w:t>
            </w:r>
            <w:r>
              <w:rPr>
                <w:rFonts w:cs="Times New Roman"/>
                <w:color w:val="000000" w:themeColor="text1"/>
                <w:sz w:val="18"/>
                <w:szCs w:val="18"/>
              </w:rPr>
              <w:t>heat production volume, kg per hectare</w:t>
            </w:r>
          </w:p>
        </w:tc>
        <w:tc>
          <w:tcPr>
            <w:tcW w:w="1413" w:type="dxa"/>
            <w:vAlign w:val="center"/>
          </w:tcPr>
          <w:p w14:paraId="00FBA0F0" w14:textId="77777777" w:rsidR="00792164" w:rsidRDefault="00792164" w:rsidP="009B7CB4">
            <w:pPr>
              <w:ind w:firstLineChars="0" w:firstLine="0"/>
              <w:jc w:val="left"/>
              <w:rPr>
                <w:rFonts w:cs="Times New Roman"/>
                <w:sz w:val="18"/>
                <w:szCs w:val="18"/>
              </w:rPr>
            </w:pPr>
            <w:r>
              <w:rPr>
                <w:rFonts w:cs="Times New Roman" w:hint="eastAsia"/>
                <w:sz w:val="18"/>
                <w:szCs w:val="18"/>
              </w:rPr>
              <w:t>5</w:t>
            </w:r>
            <w:r>
              <w:rPr>
                <w:rFonts w:cs="Times New Roman"/>
                <w:sz w:val="18"/>
                <w:szCs w:val="18"/>
              </w:rPr>
              <w:t>912.3</w:t>
            </w:r>
          </w:p>
        </w:tc>
        <w:tc>
          <w:tcPr>
            <w:tcW w:w="1843" w:type="dxa"/>
            <w:vAlign w:val="center"/>
          </w:tcPr>
          <w:p w14:paraId="5059C99D" w14:textId="77777777" w:rsidR="00792164" w:rsidRDefault="00792164" w:rsidP="009B7CB4">
            <w:pPr>
              <w:ind w:firstLineChars="0" w:firstLine="0"/>
              <w:jc w:val="left"/>
              <w:rPr>
                <w:rFonts w:cs="Times New Roman"/>
                <w:sz w:val="18"/>
                <w:szCs w:val="18"/>
              </w:rPr>
            </w:pPr>
            <w:r>
              <w:rPr>
                <w:rFonts w:cs="Times New Roman" w:hint="eastAsia"/>
                <w:sz w:val="18"/>
                <w:szCs w:val="18"/>
              </w:rPr>
              <w:t>-</w:t>
            </w:r>
          </w:p>
        </w:tc>
        <w:tc>
          <w:tcPr>
            <w:tcW w:w="851" w:type="dxa"/>
            <w:vAlign w:val="center"/>
          </w:tcPr>
          <w:p w14:paraId="1F987CE6" w14:textId="77777777" w:rsidR="00792164" w:rsidRPr="00E04159" w:rsidRDefault="00792164" w:rsidP="009B7CB4">
            <w:pPr>
              <w:ind w:firstLineChars="0" w:firstLine="0"/>
              <w:jc w:val="left"/>
              <w:rPr>
                <w:rFonts w:cs="Times New Roman"/>
                <w:sz w:val="18"/>
                <w:szCs w:val="18"/>
              </w:rPr>
            </w:pPr>
            <w:r w:rsidRPr="00E04159">
              <w:rPr>
                <w:rFonts w:cs="Times New Roman" w:hint="eastAsia"/>
                <w:sz w:val="18"/>
                <w:szCs w:val="18"/>
              </w:rPr>
              <w:t>-</w:t>
            </w:r>
          </w:p>
        </w:tc>
        <w:tc>
          <w:tcPr>
            <w:tcW w:w="1275" w:type="dxa"/>
            <w:vAlign w:val="center"/>
          </w:tcPr>
          <w:p w14:paraId="37FC38D4" w14:textId="77777777" w:rsidR="00792164" w:rsidRDefault="00792164" w:rsidP="009B7CB4">
            <w:pPr>
              <w:ind w:firstLineChars="0" w:firstLine="0"/>
              <w:jc w:val="left"/>
              <w:rPr>
                <w:rFonts w:cs="Times New Roman"/>
                <w:sz w:val="18"/>
                <w:szCs w:val="18"/>
              </w:rPr>
            </w:pPr>
            <w:r>
              <w:rPr>
                <w:rFonts w:cs="Times New Roman" w:hint="eastAsia"/>
                <w:sz w:val="18"/>
                <w:szCs w:val="18"/>
              </w:rPr>
              <w:t>-</w:t>
            </w:r>
          </w:p>
        </w:tc>
        <w:tc>
          <w:tcPr>
            <w:tcW w:w="1990" w:type="dxa"/>
            <w:vAlign w:val="center"/>
          </w:tcPr>
          <w:p w14:paraId="621CFC79" w14:textId="77777777" w:rsidR="00792164" w:rsidRDefault="00792164" w:rsidP="009B7CB4">
            <w:pPr>
              <w:ind w:firstLineChars="0" w:firstLine="0"/>
              <w:jc w:val="left"/>
              <w:rPr>
                <w:rFonts w:cs="Times New Roman"/>
                <w:sz w:val="18"/>
                <w:szCs w:val="18"/>
              </w:rPr>
            </w:pPr>
            <w:r>
              <w:rPr>
                <w:rFonts w:cs="Times New Roman"/>
                <w:sz w:val="18"/>
                <w:szCs w:val="18"/>
              </w:rPr>
              <w:t>China National Bureau of statistics, 2021</w:t>
            </w:r>
          </w:p>
        </w:tc>
      </w:tr>
      <w:tr w:rsidR="00792164" w14:paraId="0CE51EFF" w14:textId="77777777" w:rsidTr="009B7CB4">
        <w:trPr>
          <w:jc w:val="center"/>
        </w:trPr>
        <w:tc>
          <w:tcPr>
            <w:tcW w:w="2410" w:type="dxa"/>
            <w:vAlign w:val="center"/>
          </w:tcPr>
          <w:p w14:paraId="03D813A0" w14:textId="77777777" w:rsidR="00792164" w:rsidRDefault="00792164" w:rsidP="009B7CB4">
            <w:pPr>
              <w:ind w:firstLineChars="0" w:firstLine="0"/>
              <w:jc w:val="left"/>
              <w:rPr>
                <w:rFonts w:cs="Times New Roman"/>
                <w:color w:val="000000" w:themeColor="text1"/>
                <w:sz w:val="18"/>
                <w:szCs w:val="18"/>
              </w:rPr>
            </w:pPr>
            <w:r>
              <w:rPr>
                <w:rFonts w:cs="Times New Roman"/>
                <w:color w:val="000000" w:themeColor="text1"/>
                <w:sz w:val="18"/>
                <w:szCs w:val="18"/>
              </w:rPr>
              <w:t>Wheat plantation area in 2021, hectare</w:t>
            </w:r>
          </w:p>
        </w:tc>
        <w:tc>
          <w:tcPr>
            <w:tcW w:w="1413" w:type="dxa"/>
            <w:vAlign w:val="center"/>
          </w:tcPr>
          <w:p w14:paraId="1375A517" w14:textId="77777777" w:rsidR="00792164" w:rsidRDefault="00792164" w:rsidP="009B7CB4">
            <w:pPr>
              <w:ind w:firstLineChars="0" w:firstLine="0"/>
              <w:jc w:val="left"/>
              <w:rPr>
                <w:rFonts w:cs="Times New Roman"/>
                <w:sz w:val="18"/>
                <w:szCs w:val="18"/>
              </w:rPr>
            </w:pPr>
            <w:r>
              <w:rPr>
                <w:rFonts w:cs="Times New Roman"/>
                <w:sz w:val="18"/>
                <w:szCs w:val="18"/>
              </w:rPr>
              <w:t>22962000</w:t>
            </w:r>
          </w:p>
        </w:tc>
        <w:tc>
          <w:tcPr>
            <w:tcW w:w="1843" w:type="dxa"/>
            <w:vAlign w:val="center"/>
          </w:tcPr>
          <w:p w14:paraId="234B0D2B"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851" w:type="dxa"/>
            <w:vAlign w:val="center"/>
          </w:tcPr>
          <w:p w14:paraId="1144EBBD" w14:textId="77777777" w:rsidR="00792164" w:rsidRPr="00E04159" w:rsidRDefault="00792164" w:rsidP="009B7CB4">
            <w:pPr>
              <w:ind w:firstLineChars="0" w:firstLine="0"/>
              <w:jc w:val="left"/>
              <w:rPr>
                <w:rFonts w:cs="Times New Roman"/>
                <w:sz w:val="18"/>
                <w:szCs w:val="18"/>
              </w:rPr>
            </w:pPr>
            <w:r w:rsidRPr="00E04159">
              <w:rPr>
                <w:rFonts w:cs="Times New Roman"/>
                <w:sz w:val="18"/>
                <w:szCs w:val="18"/>
              </w:rPr>
              <w:t>-</w:t>
            </w:r>
          </w:p>
        </w:tc>
        <w:tc>
          <w:tcPr>
            <w:tcW w:w="1275" w:type="dxa"/>
            <w:vAlign w:val="center"/>
          </w:tcPr>
          <w:p w14:paraId="1C145F38"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1990" w:type="dxa"/>
            <w:vAlign w:val="center"/>
          </w:tcPr>
          <w:p w14:paraId="5495AB9A" w14:textId="77777777" w:rsidR="00792164" w:rsidRDefault="00792164" w:rsidP="009B7CB4">
            <w:pPr>
              <w:ind w:firstLineChars="0" w:firstLine="0"/>
              <w:jc w:val="left"/>
              <w:rPr>
                <w:rFonts w:cs="Times New Roman"/>
                <w:sz w:val="18"/>
                <w:szCs w:val="18"/>
              </w:rPr>
            </w:pPr>
            <w:r>
              <w:rPr>
                <w:rFonts w:cs="Times New Roman"/>
                <w:sz w:val="18"/>
                <w:szCs w:val="18"/>
              </w:rPr>
              <w:t>China National Bureau of statistics, 2021</w:t>
            </w:r>
          </w:p>
        </w:tc>
      </w:tr>
      <w:tr w:rsidR="00792164" w14:paraId="6D104527" w14:textId="77777777" w:rsidTr="009B7CB4">
        <w:trPr>
          <w:jc w:val="center"/>
        </w:trPr>
        <w:tc>
          <w:tcPr>
            <w:tcW w:w="2410" w:type="dxa"/>
            <w:vAlign w:val="center"/>
          </w:tcPr>
          <w:p w14:paraId="4CE2CD44" w14:textId="77777777" w:rsidR="00792164" w:rsidRDefault="00792164" w:rsidP="009B7CB4">
            <w:pPr>
              <w:ind w:firstLineChars="0" w:firstLine="0"/>
              <w:jc w:val="left"/>
              <w:rPr>
                <w:rFonts w:cs="Times New Roman"/>
                <w:color w:val="000000" w:themeColor="text1"/>
                <w:sz w:val="18"/>
                <w:szCs w:val="18"/>
              </w:rPr>
            </w:pPr>
            <w:r>
              <w:rPr>
                <w:rFonts w:cs="Times New Roman"/>
                <w:color w:val="000000" w:themeColor="text1"/>
                <w:sz w:val="18"/>
                <w:szCs w:val="18"/>
              </w:rPr>
              <w:t>Pneumonia treatment cost, USD*</w:t>
            </w:r>
          </w:p>
        </w:tc>
        <w:tc>
          <w:tcPr>
            <w:tcW w:w="1413" w:type="dxa"/>
            <w:vAlign w:val="center"/>
          </w:tcPr>
          <w:p w14:paraId="33E97F1F" w14:textId="77777777" w:rsidR="00792164" w:rsidRDefault="00792164" w:rsidP="009B7CB4">
            <w:pPr>
              <w:ind w:firstLineChars="0" w:firstLine="0"/>
              <w:jc w:val="left"/>
              <w:rPr>
                <w:rFonts w:cs="Times New Roman"/>
                <w:sz w:val="18"/>
                <w:szCs w:val="18"/>
              </w:rPr>
            </w:pPr>
            <w:r>
              <w:rPr>
                <w:rFonts w:cs="Times New Roman"/>
                <w:sz w:val="18"/>
                <w:szCs w:val="18"/>
              </w:rPr>
              <w:t>91.89</w:t>
            </w:r>
          </w:p>
        </w:tc>
        <w:tc>
          <w:tcPr>
            <w:tcW w:w="1843" w:type="dxa"/>
            <w:vAlign w:val="center"/>
          </w:tcPr>
          <w:p w14:paraId="1FBEA4CD" w14:textId="77777777" w:rsidR="00792164" w:rsidRDefault="00792164" w:rsidP="009B7CB4">
            <w:pPr>
              <w:ind w:firstLineChars="0" w:firstLine="0"/>
              <w:jc w:val="left"/>
              <w:rPr>
                <w:rFonts w:cs="Times New Roman"/>
                <w:sz w:val="18"/>
                <w:szCs w:val="18"/>
              </w:rPr>
            </w:pPr>
            <w:r>
              <w:rPr>
                <w:rFonts w:cs="Times New Roman"/>
                <w:sz w:val="18"/>
                <w:szCs w:val="18"/>
              </w:rPr>
              <w:t>68.9, 114.9</w:t>
            </w:r>
          </w:p>
        </w:tc>
        <w:tc>
          <w:tcPr>
            <w:tcW w:w="851" w:type="dxa"/>
            <w:vAlign w:val="center"/>
          </w:tcPr>
          <w:p w14:paraId="6FC50C75" w14:textId="77777777" w:rsidR="00792164" w:rsidRPr="00E04159" w:rsidRDefault="00792164" w:rsidP="009B7CB4">
            <w:pPr>
              <w:ind w:firstLineChars="0" w:firstLine="0"/>
              <w:jc w:val="left"/>
              <w:rPr>
                <w:rFonts w:cs="Times New Roman"/>
                <w:sz w:val="18"/>
                <w:szCs w:val="18"/>
              </w:rPr>
            </w:pPr>
            <w:r w:rsidRPr="00E04159">
              <w:rPr>
                <w:rFonts w:cs="Times New Roman"/>
                <w:sz w:val="18"/>
                <w:szCs w:val="18"/>
              </w:rPr>
              <w:t>91.89</w:t>
            </w:r>
          </w:p>
        </w:tc>
        <w:tc>
          <w:tcPr>
            <w:tcW w:w="1275" w:type="dxa"/>
            <w:vAlign w:val="center"/>
          </w:tcPr>
          <w:p w14:paraId="757BE959" w14:textId="77777777" w:rsidR="00792164" w:rsidRDefault="00792164" w:rsidP="009B7CB4">
            <w:pPr>
              <w:ind w:firstLineChars="0" w:firstLine="0"/>
              <w:jc w:val="left"/>
              <w:rPr>
                <w:rFonts w:cs="Times New Roman"/>
                <w:sz w:val="18"/>
                <w:szCs w:val="18"/>
              </w:rPr>
            </w:pPr>
            <w:r>
              <w:rPr>
                <w:rFonts w:cs="Times New Roman"/>
                <w:sz w:val="18"/>
                <w:szCs w:val="18"/>
              </w:rPr>
              <w:t>γ</w:t>
            </w:r>
          </w:p>
        </w:tc>
        <w:tc>
          <w:tcPr>
            <w:tcW w:w="1990" w:type="dxa"/>
            <w:vAlign w:val="center"/>
          </w:tcPr>
          <w:p w14:paraId="2DB3FD7C" w14:textId="77777777" w:rsidR="00792164" w:rsidRDefault="00792164" w:rsidP="009B7CB4">
            <w:pPr>
              <w:ind w:firstLineChars="0" w:firstLine="0"/>
              <w:jc w:val="left"/>
              <w:rPr>
                <w:rFonts w:cs="Times New Roman"/>
                <w:sz w:val="18"/>
                <w:szCs w:val="18"/>
              </w:rPr>
            </w:pPr>
            <w:r>
              <w:rPr>
                <w:rFonts w:cs="Times New Roman"/>
                <w:sz w:val="18"/>
                <w:szCs w:val="18"/>
              </w:rPr>
              <w:t xml:space="preserve">Modeled based on the components listed below </w:t>
            </w:r>
          </w:p>
        </w:tc>
      </w:tr>
      <w:tr w:rsidR="00792164" w14:paraId="56979140" w14:textId="77777777" w:rsidTr="009B7CB4">
        <w:trPr>
          <w:jc w:val="center"/>
        </w:trPr>
        <w:tc>
          <w:tcPr>
            <w:tcW w:w="2410" w:type="dxa"/>
            <w:vAlign w:val="center"/>
          </w:tcPr>
          <w:p w14:paraId="2439D178" w14:textId="77777777" w:rsidR="00792164" w:rsidRDefault="00792164" w:rsidP="009B7CB4">
            <w:pPr>
              <w:ind w:firstLineChars="0" w:firstLine="0"/>
              <w:jc w:val="left"/>
              <w:rPr>
                <w:rFonts w:cs="Times New Roman"/>
                <w:color w:val="000000" w:themeColor="text1"/>
                <w:sz w:val="18"/>
                <w:szCs w:val="18"/>
              </w:rPr>
            </w:pPr>
            <w:r>
              <w:rPr>
                <w:rFonts w:cs="Times New Roman"/>
                <w:color w:val="000000" w:themeColor="text1"/>
                <w:sz w:val="18"/>
                <w:szCs w:val="18"/>
              </w:rPr>
              <w:t>Cost pneumonia hospitalized, USD</w:t>
            </w:r>
          </w:p>
        </w:tc>
        <w:tc>
          <w:tcPr>
            <w:tcW w:w="1413" w:type="dxa"/>
            <w:vAlign w:val="center"/>
          </w:tcPr>
          <w:p w14:paraId="5925BC70" w14:textId="77777777" w:rsidR="00792164" w:rsidRDefault="00792164" w:rsidP="009B7CB4">
            <w:pPr>
              <w:ind w:firstLineChars="0" w:firstLine="0"/>
              <w:jc w:val="left"/>
              <w:rPr>
                <w:rFonts w:cs="Times New Roman"/>
                <w:sz w:val="18"/>
                <w:szCs w:val="18"/>
              </w:rPr>
            </w:pPr>
            <w:r>
              <w:rPr>
                <w:rFonts w:cs="Times New Roman"/>
                <w:sz w:val="18"/>
                <w:szCs w:val="18"/>
              </w:rPr>
              <w:t>1183.97</w:t>
            </w:r>
          </w:p>
        </w:tc>
        <w:tc>
          <w:tcPr>
            <w:tcW w:w="1843" w:type="dxa"/>
            <w:vAlign w:val="center"/>
          </w:tcPr>
          <w:p w14:paraId="17BAF858"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851" w:type="dxa"/>
            <w:vAlign w:val="center"/>
          </w:tcPr>
          <w:p w14:paraId="7AD611C5" w14:textId="77777777" w:rsidR="00792164" w:rsidRPr="00E04159" w:rsidRDefault="00792164" w:rsidP="009B7CB4">
            <w:pPr>
              <w:ind w:firstLineChars="0" w:firstLine="0"/>
              <w:jc w:val="left"/>
              <w:rPr>
                <w:rFonts w:cs="Times New Roman"/>
                <w:sz w:val="18"/>
                <w:szCs w:val="18"/>
              </w:rPr>
            </w:pPr>
            <w:r w:rsidRPr="00E04159">
              <w:rPr>
                <w:rFonts w:cs="Times New Roman"/>
                <w:sz w:val="18"/>
                <w:szCs w:val="18"/>
              </w:rPr>
              <w:t>-</w:t>
            </w:r>
          </w:p>
        </w:tc>
        <w:tc>
          <w:tcPr>
            <w:tcW w:w="1275" w:type="dxa"/>
            <w:vAlign w:val="center"/>
          </w:tcPr>
          <w:p w14:paraId="0174AF8D"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1990" w:type="dxa"/>
            <w:vAlign w:val="center"/>
          </w:tcPr>
          <w:p w14:paraId="747F66CC" w14:textId="77777777" w:rsidR="00792164" w:rsidRDefault="00792164" w:rsidP="009B7CB4">
            <w:pPr>
              <w:ind w:firstLineChars="0" w:firstLine="0"/>
              <w:jc w:val="left"/>
              <w:rPr>
                <w:rFonts w:cs="Times New Roman"/>
                <w:sz w:val="18"/>
                <w:szCs w:val="18"/>
              </w:rPr>
            </w:pPr>
            <w:r>
              <w:rPr>
                <w:rFonts w:cs="Times New Roman"/>
                <w:sz w:val="18"/>
                <w:szCs w:val="18"/>
              </w:rPr>
              <w:fldChar w:fldCharType="begin" w:fldLock="1"/>
            </w:r>
            <w:r>
              <w:rPr>
                <w:rFonts w:cs="Times New Roman"/>
                <w:sz w:val="18"/>
                <w:szCs w:val="18"/>
              </w:rPr>
              <w:instrText>ADDIN CSL_CITATION {"citationItems":[{"id":"ITEM-1","itemData":{"author":[{"dropping-particle":"","family":"National Health Commission","given":"","non-dropping-particle":"","parse-names":false,"suffix":""}],"id":"ITEM-1","issued":{"date-parts":[["2021"]]},"publisher-place":"Beijing","title":"China Health Statistics Yearbook 2021","type":"report"},"uris":["http://www.mendeley.com/documents/?uuid=b184bb93-b0c2-4a81-959b-eb889ec96bc9"]}],"mendeley":{"formattedCitation":"(National Health Commission 2021)","manualFormatting":"National Health Commission, 2021","plainTextFormattedCitation":"(National Health Commission 2021)","previouslyFormattedCitation":"&lt;sup&gt;15&lt;/sup&gt;"},"properties":{"noteIndex":0},"schema":"https://github.com/citation-style-language/schema/raw/master/csl-citation.json"}</w:instrText>
            </w:r>
            <w:r>
              <w:rPr>
                <w:rFonts w:cs="Times New Roman"/>
                <w:sz w:val="18"/>
                <w:szCs w:val="18"/>
              </w:rPr>
              <w:fldChar w:fldCharType="separate"/>
            </w:r>
            <w:r w:rsidRPr="00001DF5">
              <w:rPr>
                <w:rFonts w:cs="Times New Roman"/>
                <w:noProof/>
                <w:sz w:val="18"/>
                <w:szCs w:val="18"/>
              </w:rPr>
              <w:t>National Health Commission, 2021</w:t>
            </w:r>
            <w:r>
              <w:rPr>
                <w:rFonts w:cs="Times New Roman"/>
                <w:sz w:val="18"/>
                <w:szCs w:val="18"/>
              </w:rPr>
              <w:fldChar w:fldCharType="end"/>
            </w:r>
          </w:p>
        </w:tc>
      </w:tr>
      <w:tr w:rsidR="00792164" w14:paraId="5205D636" w14:textId="77777777" w:rsidTr="009B7CB4">
        <w:trPr>
          <w:jc w:val="center"/>
        </w:trPr>
        <w:tc>
          <w:tcPr>
            <w:tcW w:w="2410" w:type="dxa"/>
            <w:vAlign w:val="center"/>
          </w:tcPr>
          <w:p w14:paraId="0FAC3445" w14:textId="77777777" w:rsidR="00792164" w:rsidRDefault="00792164" w:rsidP="009B7CB4">
            <w:pPr>
              <w:ind w:firstLineChars="0" w:firstLine="0"/>
              <w:jc w:val="left"/>
              <w:rPr>
                <w:rFonts w:cs="Times New Roman"/>
                <w:color w:val="000000" w:themeColor="text1"/>
                <w:sz w:val="18"/>
                <w:szCs w:val="18"/>
              </w:rPr>
            </w:pPr>
            <w:r>
              <w:rPr>
                <w:rFonts w:cs="Times New Roman"/>
                <w:color w:val="000000" w:themeColor="text1"/>
                <w:sz w:val="18"/>
                <w:szCs w:val="18"/>
              </w:rPr>
              <w:t>Pneumonia hospitalization rate, %</w:t>
            </w:r>
          </w:p>
        </w:tc>
        <w:tc>
          <w:tcPr>
            <w:tcW w:w="1413" w:type="dxa"/>
            <w:vAlign w:val="center"/>
          </w:tcPr>
          <w:p w14:paraId="5C5E03BF" w14:textId="77777777" w:rsidR="00792164" w:rsidRDefault="00792164" w:rsidP="009B7CB4">
            <w:pPr>
              <w:ind w:firstLineChars="0" w:firstLine="0"/>
              <w:jc w:val="left"/>
              <w:rPr>
                <w:rFonts w:cs="Times New Roman"/>
                <w:sz w:val="18"/>
                <w:szCs w:val="18"/>
              </w:rPr>
            </w:pPr>
            <w:r>
              <w:rPr>
                <w:rFonts w:cs="Times New Roman"/>
                <w:sz w:val="18"/>
                <w:szCs w:val="18"/>
              </w:rPr>
              <w:t>1.33</w:t>
            </w:r>
          </w:p>
        </w:tc>
        <w:tc>
          <w:tcPr>
            <w:tcW w:w="1843" w:type="dxa"/>
            <w:vAlign w:val="center"/>
          </w:tcPr>
          <w:p w14:paraId="1DC29792"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851" w:type="dxa"/>
            <w:vAlign w:val="center"/>
          </w:tcPr>
          <w:p w14:paraId="4D3D8611" w14:textId="77777777" w:rsidR="00792164" w:rsidRPr="00E04159" w:rsidRDefault="00792164" w:rsidP="009B7CB4">
            <w:pPr>
              <w:ind w:firstLineChars="0" w:firstLine="0"/>
              <w:jc w:val="left"/>
              <w:rPr>
                <w:rFonts w:cs="Times New Roman"/>
                <w:sz w:val="18"/>
                <w:szCs w:val="18"/>
              </w:rPr>
            </w:pPr>
            <w:r w:rsidRPr="00E04159">
              <w:rPr>
                <w:rFonts w:cs="Times New Roman"/>
                <w:sz w:val="18"/>
                <w:szCs w:val="18"/>
              </w:rPr>
              <w:t>-</w:t>
            </w:r>
          </w:p>
        </w:tc>
        <w:tc>
          <w:tcPr>
            <w:tcW w:w="1275" w:type="dxa"/>
            <w:vAlign w:val="center"/>
          </w:tcPr>
          <w:p w14:paraId="4C4D25B3"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1990" w:type="dxa"/>
            <w:vAlign w:val="center"/>
          </w:tcPr>
          <w:p w14:paraId="46AC109B" w14:textId="77777777" w:rsidR="00792164" w:rsidRDefault="00792164" w:rsidP="009B7CB4">
            <w:pPr>
              <w:ind w:firstLineChars="0" w:firstLine="0"/>
              <w:jc w:val="left"/>
              <w:rPr>
                <w:rFonts w:cs="Times New Roman"/>
                <w:sz w:val="18"/>
                <w:szCs w:val="18"/>
              </w:rPr>
            </w:pPr>
            <w:r>
              <w:rPr>
                <w:rFonts w:cs="Times New Roman"/>
                <w:sz w:val="18"/>
                <w:szCs w:val="18"/>
              </w:rPr>
              <w:fldChar w:fldCharType="begin" w:fldLock="1"/>
            </w:r>
            <w:r>
              <w:rPr>
                <w:rFonts w:cs="Times New Roman"/>
                <w:sz w:val="18"/>
                <w:szCs w:val="18"/>
              </w:rPr>
              <w:instrText>ADDIN CSL_CITATION {"citationItems":[{"id":"ITEM-1","itemData":{"author":[{"dropping-particle":"","family":"Lu","given":"Yi","non-dropping-particle":"","parse-names":false,"suffix":""},{"dropping-particle":"","family":"Yang","given":"Daxing","non-dropping-particle":"","parse-names":false,"suffix":""},{"dropping-particle":"","family":"Qi","given":"Yu","non-dropping-particle":"","parse-names":false,"suffix":""}],"container-title":"China Health Industry","id":"ITEM-1","issued":{"date-parts":[["2019"]]},"page":"3-7","title":"Analysis of the Burden of Respiratory Diseases in China","type":"article-journal","volume":"20"},"uris":["http://www.mendeley.com/documents/?uuid=59cc2445-f794-468b-87e8-0a101493498f"]}],"mendeley":{"formattedCitation":"(Lu, Yang, and Qi 2019)","manualFormatting":"Lu et al., 2019","plainTextFormattedCitation":"(Lu, Yang, and Qi 2019)","previouslyFormattedCitation":"&lt;sup&gt;16&lt;/sup&gt;"},"properties":{"noteIndex":0},"schema":"https://github.com/citation-style-language/schema/raw/master/csl-citation.json"}</w:instrText>
            </w:r>
            <w:r>
              <w:rPr>
                <w:rFonts w:cs="Times New Roman"/>
                <w:sz w:val="18"/>
                <w:szCs w:val="18"/>
              </w:rPr>
              <w:fldChar w:fldCharType="separate"/>
            </w:r>
            <w:r>
              <w:rPr>
                <w:rFonts w:cs="Times New Roman"/>
                <w:noProof/>
                <w:sz w:val="18"/>
                <w:szCs w:val="18"/>
              </w:rPr>
              <w:t>Lu et al., 2019</w:t>
            </w:r>
            <w:r>
              <w:rPr>
                <w:rFonts w:cs="Times New Roman"/>
                <w:sz w:val="18"/>
                <w:szCs w:val="18"/>
              </w:rPr>
              <w:fldChar w:fldCharType="end"/>
            </w:r>
          </w:p>
        </w:tc>
      </w:tr>
      <w:tr w:rsidR="00792164" w14:paraId="7A4F051E" w14:textId="77777777" w:rsidTr="009B7CB4">
        <w:trPr>
          <w:jc w:val="center"/>
        </w:trPr>
        <w:tc>
          <w:tcPr>
            <w:tcW w:w="2410" w:type="dxa"/>
            <w:vAlign w:val="center"/>
          </w:tcPr>
          <w:p w14:paraId="44F7AF88" w14:textId="77777777" w:rsidR="00792164" w:rsidRDefault="00792164" w:rsidP="009B7CB4">
            <w:pPr>
              <w:ind w:firstLineChars="0" w:firstLine="0"/>
              <w:jc w:val="left"/>
              <w:rPr>
                <w:rFonts w:cs="Times New Roman"/>
                <w:color w:val="000000" w:themeColor="text1"/>
                <w:sz w:val="18"/>
                <w:szCs w:val="18"/>
              </w:rPr>
            </w:pPr>
            <w:r>
              <w:rPr>
                <w:rFonts w:cs="Times New Roman"/>
                <w:color w:val="000000" w:themeColor="text1"/>
                <w:sz w:val="18"/>
                <w:szCs w:val="18"/>
              </w:rPr>
              <w:t>Cost pneumonia non-hospitalized, USD</w:t>
            </w:r>
          </w:p>
        </w:tc>
        <w:tc>
          <w:tcPr>
            <w:tcW w:w="1413" w:type="dxa"/>
            <w:vAlign w:val="center"/>
          </w:tcPr>
          <w:p w14:paraId="6D15CD0B" w14:textId="77777777" w:rsidR="00792164" w:rsidRDefault="00792164" w:rsidP="009B7CB4">
            <w:pPr>
              <w:ind w:firstLineChars="0" w:firstLine="0"/>
              <w:jc w:val="left"/>
              <w:rPr>
                <w:rFonts w:cs="Times New Roman"/>
                <w:sz w:val="18"/>
                <w:szCs w:val="18"/>
              </w:rPr>
            </w:pPr>
            <w:r>
              <w:rPr>
                <w:rFonts w:cs="Times New Roman"/>
                <w:sz w:val="18"/>
                <w:szCs w:val="18"/>
              </w:rPr>
              <w:t>77.5</w:t>
            </w:r>
          </w:p>
        </w:tc>
        <w:tc>
          <w:tcPr>
            <w:tcW w:w="1843" w:type="dxa"/>
            <w:vAlign w:val="center"/>
          </w:tcPr>
          <w:p w14:paraId="78681AA0"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851" w:type="dxa"/>
            <w:vAlign w:val="center"/>
          </w:tcPr>
          <w:p w14:paraId="4CD2613D" w14:textId="77777777" w:rsidR="00792164" w:rsidRPr="00E04159" w:rsidRDefault="00792164" w:rsidP="009B7CB4">
            <w:pPr>
              <w:ind w:firstLineChars="0" w:firstLine="0"/>
              <w:jc w:val="left"/>
              <w:rPr>
                <w:rFonts w:cs="Times New Roman"/>
                <w:sz w:val="18"/>
                <w:szCs w:val="18"/>
              </w:rPr>
            </w:pPr>
            <w:r w:rsidRPr="00E04159">
              <w:rPr>
                <w:rFonts w:cs="Times New Roman"/>
                <w:sz w:val="18"/>
                <w:szCs w:val="18"/>
              </w:rPr>
              <w:t>-</w:t>
            </w:r>
          </w:p>
        </w:tc>
        <w:tc>
          <w:tcPr>
            <w:tcW w:w="1275" w:type="dxa"/>
            <w:vAlign w:val="center"/>
          </w:tcPr>
          <w:p w14:paraId="3DE93767"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1990" w:type="dxa"/>
            <w:vAlign w:val="center"/>
          </w:tcPr>
          <w:p w14:paraId="36FF46E1" w14:textId="77777777" w:rsidR="00792164" w:rsidRDefault="00792164" w:rsidP="009B7CB4">
            <w:pPr>
              <w:ind w:firstLineChars="0" w:firstLine="0"/>
              <w:jc w:val="left"/>
              <w:rPr>
                <w:rFonts w:cs="Times New Roman"/>
                <w:sz w:val="18"/>
                <w:szCs w:val="18"/>
              </w:rPr>
            </w:pPr>
            <w:r>
              <w:rPr>
                <w:rFonts w:cs="Times New Roman"/>
                <w:sz w:val="18"/>
                <w:szCs w:val="18"/>
              </w:rPr>
              <w:t>Medical practitioners’ estimates</w:t>
            </w:r>
          </w:p>
        </w:tc>
      </w:tr>
      <w:tr w:rsidR="00792164" w14:paraId="621836BF" w14:textId="77777777" w:rsidTr="009B7CB4">
        <w:trPr>
          <w:jc w:val="center"/>
        </w:trPr>
        <w:tc>
          <w:tcPr>
            <w:tcW w:w="2410" w:type="dxa"/>
            <w:vAlign w:val="center"/>
          </w:tcPr>
          <w:p w14:paraId="448458DE" w14:textId="77777777" w:rsidR="00792164" w:rsidRDefault="00792164" w:rsidP="009B7CB4">
            <w:pPr>
              <w:ind w:firstLineChars="0" w:firstLine="0"/>
              <w:jc w:val="left"/>
              <w:rPr>
                <w:rFonts w:cs="Times New Roman"/>
                <w:color w:val="000000" w:themeColor="text1"/>
                <w:sz w:val="18"/>
                <w:szCs w:val="18"/>
              </w:rPr>
            </w:pPr>
            <w:r>
              <w:rPr>
                <w:rFonts w:cs="Times New Roman"/>
                <w:color w:val="000000" w:themeColor="text1"/>
                <w:sz w:val="18"/>
                <w:szCs w:val="18"/>
              </w:rPr>
              <w:t>Anemia treatment cost, USD</w:t>
            </w:r>
          </w:p>
        </w:tc>
        <w:tc>
          <w:tcPr>
            <w:tcW w:w="1413" w:type="dxa"/>
            <w:vAlign w:val="center"/>
          </w:tcPr>
          <w:p w14:paraId="245217FD" w14:textId="77777777" w:rsidR="00792164" w:rsidRDefault="00792164" w:rsidP="009B7CB4">
            <w:pPr>
              <w:ind w:firstLineChars="0" w:firstLine="0"/>
              <w:jc w:val="left"/>
              <w:rPr>
                <w:rFonts w:cs="Times New Roman"/>
                <w:sz w:val="18"/>
                <w:szCs w:val="18"/>
              </w:rPr>
            </w:pPr>
            <w:r>
              <w:rPr>
                <w:rFonts w:cs="Times New Roman"/>
                <w:sz w:val="18"/>
                <w:szCs w:val="18"/>
              </w:rPr>
              <w:t>50.2</w:t>
            </w:r>
          </w:p>
        </w:tc>
        <w:tc>
          <w:tcPr>
            <w:tcW w:w="1843" w:type="dxa"/>
            <w:vAlign w:val="center"/>
          </w:tcPr>
          <w:p w14:paraId="7C6F087E" w14:textId="77777777" w:rsidR="00792164" w:rsidRDefault="00792164" w:rsidP="009B7CB4">
            <w:pPr>
              <w:ind w:firstLineChars="0" w:firstLine="0"/>
              <w:jc w:val="left"/>
              <w:rPr>
                <w:rFonts w:cs="Times New Roman"/>
                <w:sz w:val="18"/>
                <w:szCs w:val="18"/>
              </w:rPr>
            </w:pPr>
            <w:r>
              <w:rPr>
                <w:rFonts w:cs="Times New Roman"/>
                <w:sz w:val="18"/>
                <w:szCs w:val="18"/>
              </w:rPr>
              <w:t>37.7, 62.8</w:t>
            </w:r>
          </w:p>
        </w:tc>
        <w:tc>
          <w:tcPr>
            <w:tcW w:w="851" w:type="dxa"/>
            <w:vAlign w:val="center"/>
          </w:tcPr>
          <w:p w14:paraId="4AA5C3D5" w14:textId="77777777" w:rsidR="00792164" w:rsidRPr="00E04159" w:rsidRDefault="00792164" w:rsidP="009B7CB4">
            <w:pPr>
              <w:ind w:firstLineChars="0" w:firstLine="0"/>
              <w:jc w:val="left"/>
              <w:rPr>
                <w:rFonts w:cs="Times New Roman"/>
                <w:sz w:val="18"/>
                <w:szCs w:val="18"/>
              </w:rPr>
            </w:pPr>
            <w:r w:rsidRPr="00E04159">
              <w:rPr>
                <w:rFonts w:cs="Times New Roman"/>
                <w:sz w:val="18"/>
                <w:szCs w:val="18"/>
              </w:rPr>
              <w:t>50.2</w:t>
            </w:r>
          </w:p>
        </w:tc>
        <w:tc>
          <w:tcPr>
            <w:tcW w:w="1275" w:type="dxa"/>
            <w:vAlign w:val="center"/>
          </w:tcPr>
          <w:p w14:paraId="5456982C" w14:textId="77777777" w:rsidR="00792164" w:rsidRDefault="00792164" w:rsidP="009B7CB4">
            <w:pPr>
              <w:ind w:firstLineChars="0" w:firstLine="0"/>
              <w:jc w:val="left"/>
              <w:rPr>
                <w:rFonts w:cs="Times New Roman"/>
                <w:sz w:val="18"/>
                <w:szCs w:val="18"/>
              </w:rPr>
            </w:pPr>
            <w:r>
              <w:rPr>
                <w:rFonts w:cs="Times New Roman"/>
                <w:sz w:val="18"/>
                <w:szCs w:val="18"/>
              </w:rPr>
              <w:t>γ</w:t>
            </w:r>
          </w:p>
        </w:tc>
        <w:tc>
          <w:tcPr>
            <w:tcW w:w="1990" w:type="dxa"/>
            <w:vAlign w:val="center"/>
          </w:tcPr>
          <w:p w14:paraId="1918A900" w14:textId="77777777" w:rsidR="00792164" w:rsidRDefault="00792164" w:rsidP="009B7CB4">
            <w:pPr>
              <w:ind w:firstLineChars="0" w:firstLine="0"/>
              <w:jc w:val="left"/>
              <w:rPr>
                <w:rFonts w:cs="Times New Roman"/>
                <w:sz w:val="18"/>
                <w:szCs w:val="18"/>
              </w:rPr>
            </w:pPr>
            <w:r>
              <w:rPr>
                <w:rFonts w:cs="Times New Roman"/>
                <w:sz w:val="18"/>
                <w:szCs w:val="18"/>
              </w:rPr>
              <w:t>Derived from online price information</w:t>
            </w:r>
          </w:p>
        </w:tc>
      </w:tr>
      <w:tr w:rsidR="00792164" w14:paraId="1134BA5A" w14:textId="77777777" w:rsidTr="009B7CB4">
        <w:trPr>
          <w:jc w:val="center"/>
        </w:trPr>
        <w:tc>
          <w:tcPr>
            <w:tcW w:w="2410" w:type="dxa"/>
            <w:vAlign w:val="center"/>
          </w:tcPr>
          <w:p w14:paraId="55F91DBE" w14:textId="77777777" w:rsidR="00792164" w:rsidRPr="00963381" w:rsidRDefault="00792164" w:rsidP="009B7CB4">
            <w:pPr>
              <w:ind w:firstLineChars="0" w:firstLine="0"/>
              <w:jc w:val="left"/>
              <w:rPr>
                <w:rFonts w:cs="Times New Roman"/>
                <w:sz w:val="18"/>
                <w:szCs w:val="18"/>
              </w:rPr>
            </w:pPr>
            <w:r w:rsidRPr="00963381">
              <w:rPr>
                <w:rFonts w:cs="Times New Roman"/>
                <w:sz w:val="18"/>
                <w:szCs w:val="18"/>
              </w:rPr>
              <w:t>Annual wheat consumption per person, kg</w:t>
            </w:r>
          </w:p>
        </w:tc>
        <w:tc>
          <w:tcPr>
            <w:tcW w:w="1413" w:type="dxa"/>
            <w:vAlign w:val="center"/>
          </w:tcPr>
          <w:p w14:paraId="50F6F27D" w14:textId="77777777" w:rsidR="00792164" w:rsidRPr="00D749A5" w:rsidRDefault="00792164" w:rsidP="009B7CB4">
            <w:pPr>
              <w:ind w:firstLineChars="0" w:firstLine="0"/>
              <w:jc w:val="left"/>
              <w:rPr>
                <w:rFonts w:cs="Times New Roman"/>
                <w:sz w:val="18"/>
                <w:szCs w:val="18"/>
              </w:rPr>
            </w:pPr>
            <w:r w:rsidRPr="00D749A5">
              <w:rPr>
                <w:rFonts w:cs="Times New Roman"/>
                <w:sz w:val="18"/>
                <w:szCs w:val="18"/>
              </w:rPr>
              <w:t>6</w:t>
            </w:r>
            <w:r w:rsidRPr="00963381">
              <w:rPr>
                <w:rFonts w:cs="Times New Roman"/>
                <w:sz w:val="18"/>
                <w:szCs w:val="18"/>
              </w:rPr>
              <w:t>6.4</w:t>
            </w:r>
          </w:p>
        </w:tc>
        <w:tc>
          <w:tcPr>
            <w:tcW w:w="1843" w:type="dxa"/>
            <w:vAlign w:val="center"/>
          </w:tcPr>
          <w:p w14:paraId="2CC197E7"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851" w:type="dxa"/>
            <w:vAlign w:val="center"/>
          </w:tcPr>
          <w:p w14:paraId="19ED4160" w14:textId="77777777" w:rsidR="00792164" w:rsidRPr="00E04159" w:rsidRDefault="00792164" w:rsidP="009B7CB4">
            <w:pPr>
              <w:ind w:firstLineChars="0" w:firstLine="0"/>
              <w:jc w:val="left"/>
              <w:rPr>
                <w:rFonts w:cs="Times New Roman"/>
                <w:sz w:val="18"/>
                <w:szCs w:val="18"/>
              </w:rPr>
            </w:pPr>
            <w:r w:rsidRPr="00E04159">
              <w:rPr>
                <w:rFonts w:cs="Times New Roman"/>
                <w:sz w:val="18"/>
                <w:szCs w:val="18"/>
              </w:rPr>
              <w:t>-</w:t>
            </w:r>
          </w:p>
        </w:tc>
        <w:tc>
          <w:tcPr>
            <w:tcW w:w="1275" w:type="dxa"/>
            <w:vAlign w:val="center"/>
          </w:tcPr>
          <w:p w14:paraId="3DF1CC27"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1990" w:type="dxa"/>
            <w:shd w:val="clear" w:color="auto" w:fill="auto"/>
            <w:vAlign w:val="center"/>
          </w:tcPr>
          <w:p w14:paraId="0031CA91" w14:textId="77777777" w:rsidR="00792164" w:rsidRPr="003F24E9"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D</w:t>
            </w:r>
            <w:r>
              <w:rPr>
                <w:rFonts w:eastAsiaTheme="minorEastAsia" w:cs="Times New Roman"/>
                <w:sz w:val="18"/>
                <w:szCs w:val="18"/>
              </w:rPr>
              <w:t xml:space="preserve">erived from </w:t>
            </w:r>
            <w:r>
              <w:rPr>
                <w:rFonts w:eastAsiaTheme="minorEastAsia" w:cs="Times New Roman"/>
                <w:sz w:val="18"/>
                <w:szCs w:val="18"/>
              </w:rPr>
              <w:fldChar w:fldCharType="begin" w:fldLock="1"/>
            </w:r>
            <w:r>
              <w:rPr>
                <w:rFonts w:eastAsiaTheme="minorEastAsia" w:cs="Times New Roman"/>
                <w:sz w:val="18"/>
                <w:szCs w:val="18"/>
              </w:rPr>
              <w:instrText>ADDIN CSL_CITATION {"citationItems":[{"id":"ITEM-1","itemData":{"URL":"https://lsj.nmg.gov.cn/scxx/xmmf/gnsc_7625/202208/t20220805_2098729.html","accessed":{"date-parts":[["2022","5","13"]]},"author":[{"dropping-particle":"","family":"China National Grain &amp; Oils Information Center","given":"","non-dropping-particle":"","parse-names":false,"suffix":""}],"id":"ITEM-1","issued":{"date-parts":[["2022"]]},"title":"Domestic wheat market","type":"webpage"},"uris":["http://www.mendeley.com/documents/?uuid=02a5b561-92ae-4722-8a13-0106f4f12054"]}],"mendeley":{"formattedCitation":"(China National Grain &amp; Oils Information Center 2022)","manualFormatting":"China National Grain &amp; Oils Information Center, 2022","plainTextFormattedCitation":"(China National Grain &amp; Oils Information Center 2022)","previouslyFormattedCitation":"&lt;sup&gt;17&lt;/sup&gt;"},"properties":{"noteIndex":0},"schema":"https://github.com/citation-style-language/schema/raw/master/csl-citation.json"}</w:instrText>
            </w:r>
            <w:r>
              <w:rPr>
                <w:rFonts w:eastAsiaTheme="minorEastAsia" w:cs="Times New Roman"/>
                <w:sz w:val="18"/>
                <w:szCs w:val="18"/>
              </w:rPr>
              <w:fldChar w:fldCharType="separate"/>
            </w:r>
            <w:r w:rsidRPr="003F24E9">
              <w:rPr>
                <w:rFonts w:eastAsiaTheme="minorEastAsia" w:cs="Times New Roman"/>
                <w:noProof/>
                <w:sz w:val="18"/>
                <w:szCs w:val="18"/>
              </w:rPr>
              <w:t>China National Grain &amp; Oils Information Center, 2022</w:t>
            </w:r>
            <w:r>
              <w:rPr>
                <w:rFonts w:eastAsiaTheme="minorEastAsia" w:cs="Times New Roman"/>
                <w:sz w:val="18"/>
                <w:szCs w:val="18"/>
              </w:rPr>
              <w:fldChar w:fldCharType="end"/>
            </w:r>
          </w:p>
        </w:tc>
      </w:tr>
      <w:tr w:rsidR="00792164" w14:paraId="4B708C22" w14:textId="77777777" w:rsidTr="009B7CB4">
        <w:trPr>
          <w:jc w:val="center"/>
        </w:trPr>
        <w:tc>
          <w:tcPr>
            <w:tcW w:w="2410" w:type="dxa"/>
            <w:vAlign w:val="center"/>
          </w:tcPr>
          <w:p w14:paraId="2EDDBF7A" w14:textId="77777777" w:rsidR="00792164" w:rsidRDefault="00792164" w:rsidP="009B7CB4">
            <w:pPr>
              <w:ind w:firstLineChars="0" w:firstLine="0"/>
              <w:jc w:val="left"/>
              <w:rPr>
                <w:rFonts w:cs="Times New Roman"/>
                <w:color w:val="000000" w:themeColor="text1"/>
                <w:sz w:val="18"/>
                <w:szCs w:val="18"/>
              </w:rPr>
            </w:pPr>
            <w:r>
              <w:rPr>
                <w:rFonts w:cs="Times New Roman"/>
                <w:color w:val="000000" w:themeColor="text1"/>
                <w:sz w:val="18"/>
                <w:szCs w:val="18"/>
              </w:rPr>
              <w:t xml:space="preserve">Annual wheat consumption volume, million </w:t>
            </w:r>
            <w:proofErr w:type="spellStart"/>
            <w:r>
              <w:rPr>
                <w:rFonts w:cs="Times New Roman"/>
                <w:color w:val="000000" w:themeColor="text1"/>
                <w:sz w:val="18"/>
                <w:szCs w:val="18"/>
              </w:rPr>
              <w:t>tonnes</w:t>
            </w:r>
            <w:proofErr w:type="spellEnd"/>
          </w:p>
        </w:tc>
        <w:tc>
          <w:tcPr>
            <w:tcW w:w="1413" w:type="dxa"/>
            <w:vAlign w:val="center"/>
          </w:tcPr>
          <w:p w14:paraId="0C0776AF" w14:textId="77777777" w:rsidR="00792164" w:rsidRDefault="00792164" w:rsidP="009B7CB4">
            <w:pPr>
              <w:ind w:firstLineChars="0" w:firstLine="0"/>
              <w:jc w:val="left"/>
              <w:rPr>
                <w:rFonts w:cs="Times New Roman"/>
                <w:sz w:val="18"/>
                <w:szCs w:val="18"/>
              </w:rPr>
            </w:pPr>
            <w:r>
              <w:rPr>
                <w:rFonts w:cs="Times New Roman"/>
                <w:sz w:val="18"/>
                <w:szCs w:val="18"/>
              </w:rPr>
              <w:t>93.8</w:t>
            </w:r>
          </w:p>
        </w:tc>
        <w:tc>
          <w:tcPr>
            <w:tcW w:w="1843" w:type="dxa"/>
            <w:vAlign w:val="center"/>
          </w:tcPr>
          <w:p w14:paraId="1560C895"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851" w:type="dxa"/>
            <w:vAlign w:val="center"/>
          </w:tcPr>
          <w:p w14:paraId="3CFBA7AA" w14:textId="77777777" w:rsidR="00792164" w:rsidRPr="00E04159" w:rsidRDefault="00792164" w:rsidP="009B7CB4">
            <w:pPr>
              <w:ind w:firstLineChars="0" w:firstLine="0"/>
              <w:jc w:val="left"/>
              <w:rPr>
                <w:rFonts w:cs="Times New Roman"/>
                <w:sz w:val="18"/>
                <w:szCs w:val="18"/>
              </w:rPr>
            </w:pPr>
            <w:r w:rsidRPr="00E04159">
              <w:rPr>
                <w:rFonts w:cs="Times New Roman"/>
                <w:sz w:val="18"/>
                <w:szCs w:val="18"/>
              </w:rPr>
              <w:t>-</w:t>
            </w:r>
          </w:p>
        </w:tc>
        <w:tc>
          <w:tcPr>
            <w:tcW w:w="1275" w:type="dxa"/>
            <w:vAlign w:val="center"/>
          </w:tcPr>
          <w:p w14:paraId="1D5BECB1"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1990" w:type="dxa"/>
            <w:shd w:val="clear" w:color="auto" w:fill="auto"/>
            <w:vAlign w:val="center"/>
          </w:tcPr>
          <w:p w14:paraId="6A940429" w14:textId="77777777" w:rsidR="00792164" w:rsidRPr="003F24E9" w:rsidRDefault="00792164" w:rsidP="009B7CB4">
            <w:pPr>
              <w:ind w:firstLineChars="0" w:firstLine="0"/>
              <w:jc w:val="left"/>
              <w:rPr>
                <w:rFonts w:cs="Times New Roman"/>
                <w:sz w:val="18"/>
                <w:szCs w:val="18"/>
              </w:rPr>
            </w:pPr>
            <w:r w:rsidRPr="003F24E9">
              <w:rPr>
                <w:rFonts w:cs="Times New Roman"/>
                <w:sz w:val="18"/>
                <w:szCs w:val="18"/>
              </w:rPr>
              <w:fldChar w:fldCharType="begin" w:fldLock="1"/>
            </w:r>
            <w:r>
              <w:rPr>
                <w:rFonts w:cs="Times New Roman"/>
                <w:sz w:val="18"/>
                <w:szCs w:val="18"/>
              </w:rPr>
              <w:instrText>ADDIN CSL_CITATION {"citationItems":[{"id":"ITEM-1","itemData":{"URL":"https://lsj.nmg.gov.cn/scxx/xmmf/gnsc_7625/202208/t20220805_2098729.html","accessed":{"date-parts":[["2022","5","13"]]},"author":[{"dropping-particle":"","family":"China National Grain &amp; Oils Information Center","given":"","non-dropping-particle":"","parse-names":false,"suffix":""}],"id":"ITEM-1","issued":{"date-parts":[["2022"]]},"title":"Domestic wheat market","type":"webpage"},"uris":["http://www.mendeley.com/documents/?uuid=02a5b561-92ae-4722-8a13-0106f4f12054"]}],"mendeley":{"formattedCitation":"(China National Grain &amp; Oils Information Center 2022)","manualFormatting":"China National Grain &amp; Oils Information Center, 2022","plainTextFormattedCitation":"(China National Grain &amp; Oils Information Center 2022)","previouslyFormattedCitation":"&lt;sup&gt;17&lt;/sup&gt;"},"properties":{"noteIndex":0},"schema":"https://github.com/citation-style-language/schema/raw/master/csl-citation.json"}</w:instrText>
            </w:r>
            <w:r w:rsidRPr="003F24E9">
              <w:rPr>
                <w:rFonts w:cs="Times New Roman"/>
                <w:sz w:val="18"/>
                <w:szCs w:val="18"/>
              </w:rPr>
              <w:fldChar w:fldCharType="separate"/>
            </w:r>
            <w:r w:rsidRPr="003F24E9">
              <w:rPr>
                <w:rFonts w:cs="Times New Roman"/>
                <w:noProof/>
                <w:sz w:val="18"/>
                <w:szCs w:val="18"/>
              </w:rPr>
              <w:t>China National Grain &amp; Oils Information Center, 2022</w:t>
            </w:r>
            <w:r w:rsidRPr="003F24E9">
              <w:rPr>
                <w:rFonts w:cs="Times New Roman"/>
                <w:sz w:val="18"/>
                <w:szCs w:val="18"/>
              </w:rPr>
              <w:fldChar w:fldCharType="end"/>
            </w:r>
          </w:p>
        </w:tc>
      </w:tr>
      <w:tr w:rsidR="00792164" w14:paraId="1D5397C3" w14:textId="77777777" w:rsidTr="009B7CB4">
        <w:trPr>
          <w:jc w:val="center"/>
        </w:trPr>
        <w:tc>
          <w:tcPr>
            <w:tcW w:w="2410" w:type="dxa"/>
            <w:vAlign w:val="center"/>
          </w:tcPr>
          <w:p w14:paraId="37BCDC21" w14:textId="77777777" w:rsidR="00792164" w:rsidRDefault="00792164" w:rsidP="009B7CB4">
            <w:pPr>
              <w:ind w:firstLineChars="0" w:firstLine="0"/>
              <w:jc w:val="left"/>
              <w:rPr>
                <w:rFonts w:cs="Times New Roman"/>
                <w:color w:val="000000" w:themeColor="text1"/>
                <w:sz w:val="18"/>
                <w:szCs w:val="18"/>
              </w:rPr>
            </w:pPr>
            <w:r>
              <w:rPr>
                <w:rFonts w:cs="Times New Roman"/>
                <w:color w:val="000000" w:themeColor="text1"/>
                <w:sz w:val="18"/>
                <w:szCs w:val="18"/>
              </w:rPr>
              <w:t>Wheat price, USD/kg</w:t>
            </w:r>
          </w:p>
        </w:tc>
        <w:tc>
          <w:tcPr>
            <w:tcW w:w="1413" w:type="dxa"/>
            <w:vAlign w:val="center"/>
          </w:tcPr>
          <w:p w14:paraId="6355A76B" w14:textId="77777777" w:rsidR="00792164" w:rsidRDefault="00792164" w:rsidP="009B7CB4">
            <w:pPr>
              <w:ind w:firstLineChars="0" w:firstLine="0"/>
              <w:jc w:val="left"/>
              <w:rPr>
                <w:rFonts w:cs="Times New Roman"/>
                <w:sz w:val="18"/>
                <w:szCs w:val="18"/>
              </w:rPr>
            </w:pPr>
            <w:r>
              <w:rPr>
                <w:rFonts w:cs="Times New Roman"/>
                <w:sz w:val="18"/>
                <w:szCs w:val="18"/>
              </w:rPr>
              <w:t>0.49</w:t>
            </w:r>
          </w:p>
        </w:tc>
        <w:tc>
          <w:tcPr>
            <w:tcW w:w="1843" w:type="dxa"/>
            <w:vAlign w:val="center"/>
          </w:tcPr>
          <w:p w14:paraId="68048E02"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851" w:type="dxa"/>
            <w:vAlign w:val="center"/>
          </w:tcPr>
          <w:p w14:paraId="11C8D046" w14:textId="77777777" w:rsidR="00792164" w:rsidRPr="00E04159" w:rsidRDefault="00792164" w:rsidP="009B7CB4">
            <w:pPr>
              <w:ind w:firstLineChars="0" w:firstLine="0"/>
              <w:jc w:val="left"/>
              <w:rPr>
                <w:rFonts w:cs="Times New Roman"/>
                <w:sz w:val="18"/>
                <w:szCs w:val="18"/>
              </w:rPr>
            </w:pPr>
            <w:r w:rsidRPr="00E04159">
              <w:rPr>
                <w:rFonts w:cs="Times New Roman"/>
                <w:sz w:val="18"/>
                <w:szCs w:val="18"/>
              </w:rPr>
              <w:t>-</w:t>
            </w:r>
          </w:p>
        </w:tc>
        <w:tc>
          <w:tcPr>
            <w:tcW w:w="1275" w:type="dxa"/>
            <w:vAlign w:val="center"/>
          </w:tcPr>
          <w:p w14:paraId="5FEAD655"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1990" w:type="dxa"/>
            <w:vAlign w:val="center"/>
          </w:tcPr>
          <w:p w14:paraId="4F2D70F7" w14:textId="77777777" w:rsidR="00792164" w:rsidRDefault="00792164" w:rsidP="009B7CB4">
            <w:pPr>
              <w:ind w:firstLineChars="0" w:firstLine="0"/>
              <w:jc w:val="left"/>
              <w:rPr>
                <w:rFonts w:cs="Times New Roman"/>
                <w:sz w:val="18"/>
                <w:szCs w:val="18"/>
              </w:rPr>
            </w:pPr>
            <w:r>
              <w:rPr>
                <w:rFonts w:cs="Times New Roman"/>
                <w:sz w:val="18"/>
                <w:szCs w:val="18"/>
              </w:rPr>
              <w:fldChar w:fldCharType="begin" w:fldLock="1"/>
            </w:r>
            <w:r>
              <w:rPr>
                <w:rFonts w:cs="Times New Roman"/>
                <w:sz w:val="18"/>
                <w:szCs w:val="18"/>
              </w:rPr>
              <w:instrText>ADDIN CSL_CITATION {"citationItems":[{"id":"ITEM-1","itemData":{"URL":"https://data.stats.gov.cn/easyquery.htm?cn=A01&amp;zb=A010G01&amp;sj=202204","accessed":{"date-parts":[["2022","5","13"]]},"author":[{"dropping-particle":"","family":"National Bureau of Statisitic","given":"","non-dropping-particle":"","parse-names":false,"suffix":""}],"id":"ITEM-1","issued":{"date-parts":[["2022"]]},"title":"Market price of grains","type":"webpage"},"uris":["http://www.mendeley.com/documents/?uuid=fce96b36-e801-418b-8a45-5a5d9aa4e2f5"]}],"mendeley":{"formattedCitation":"(National Bureau of Statisitic 2022)","manualFormatting":"National Bureau of Statistics, 2022","plainTextFormattedCitation":"(National Bureau of Statisitic 2022)","previouslyFormattedCitation":"&lt;sup&gt;18&lt;/sup&gt;"},"properties":{"noteIndex":0},"schema":"https://github.com/citation-style-language/schema/raw/master/csl-citation.json"}</w:instrText>
            </w:r>
            <w:r>
              <w:rPr>
                <w:rFonts w:cs="Times New Roman"/>
                <w:sz w:val="18"/>
                <w:szCs w:val="18"/>
              </w:rPr>
              <w:fldChar w:fldCharType="separate"/>
            </w:r>
            <w:r>
              <w:rPr>
                <w:rFonts w:cs="Times New Roman"/>
                <w:noProof/>
                <w:sz w:val="18"/>
                <w:szCs w:val="18"/>
              </w:rPr>
              <w:t>National Bureau of Statistics, 2022</w:t>
            </w:r>
            <w:r>
              <w:rPr>
                <w:rFonts w:cs="Times New Roman"/>
                <w:sz w:val="18"/>
                <w:szCs w:val="18"/>
              </w:rPr>
              <w:fldChar w:fldCharType="end"/>
            </w:r>
          </w:p>
        </w:tc>
      </w:tr>
      <w:tr w:rsidR="00792164" w14:paraId="04151FD2" w14:textId="77777777" w:rsidTr="009B7CB4">
        <w:trPr>
          <w:jc w:val="center"/>
        </w:trPr>
        <w:tc>
          <w:tcPr>
            <w:tcW w:w="2410" w:type="dxa"/>
            <w:vAlign w:val="center"/>
          </w:tcPr>
          <w:p w14:paraId="2AF1DA20" w14:textId="77777777" w:rsidR="00792164" w:rsidRDefault="00792164" w:rsidP="009B7CB4">
            <w:pPr>
              <w:ind w:firstLineChars="0" w:firstLine="0"/>
              <w:jc w:val="left"/>
              <w:rPr>
                <w:rFonts w:cs="Times New Roman"/>
                <w:sz w:val="18"/>
                <w:szCs w:val="18"/>
              </w:rPr>
            </w:pPr>
            <w:r>
              <w:rPr>
                <w:rFonts w:cs="Times New Roman"/>
                <w:sz w:val="18"/>
                <w:szCs w:val="18"/>
              </w:rPr>
              <w:t>WTP discount for GM biofortified crops</w:t>
            </w:r>
          </w:p>
        </w:tc>
        <w:tc>
          <w:tcPr>
            <w:tcW w:w="1413" w:type="dxa"/>
            <w:vAlign w:val="center"/>
          </w:tcPr>
          <w:p w14:paraId="1B49BFA4" w14:textId="77777777" w:rsidR="00792164" w:rsidRDefault="00792164" w:rsidP="009B7CB4">
            <w:pPr>
              <w:ind w:firstLineChars="0" w:firstLine="0"/>
              <w:jc w:val="left"/>
              <w:rPr>
                <w:rFonts w:cs="Times New Roman"/>
                <w:color w:val="000000" w:themeColor="text1"/>
                <w:sz w:val="18"/>
                <w:szCs w:val="18"/>
              </w:rPr>
            </w:pPr>
            <w:r>
              <w:rPr>
                <w:rFonts w:cs="Times New Roman"/>
                <w:color w:val="000000" w:themeColor="text1"/>
                <w:sz w:val="18"/>
                <w:szCs w:val="18"/>
              </w:rPr>
              <w:t>-20%</w:t>
            </w:r>
          </w:p>
        </w:tc>
        <w:tc>
          <w:tcPr>
            <w:tcW w:w="1843" w:type="dxa"/>
            <w:vAlign w:val="center"/>
          </w:tcPr>
          <w:p w14:paraId="7749AB06" w14:textId="77777777" w:rsidR="00792164" w:rsidRDefault="00792164" w:rsidP="009B7CB4">
            <w:pPr>
              <w:ind w:firstLineChars="0" w:firstLine="0"/>
              <w:jc w:val="left"/>
              <w:rPr>
                <w:rFonts w:cs="Times New Roman"/>
                <w:color w:val="000000" w:themeColor="text1"/>
                <w:sz w:val="18"/>
                <w:szCs w:val="18"/>
              </w:rPr>
            </w:pPr>
            <w:r>
              <w:rPr>
                <w:rFonts w:cs="Times New Roman"/>
                <w:color w:val="000000" w:themeColor="text1"/>
                <w:sz w:val="18"/>
                <w:szCs w:val="18"/>
              </w:rPr>
              <w:t>-10%, -40%</w:t>
            </w:r>
          </w:p>
        </w:tc>
        <w:tc>
          <w:tcPr>
            <w:tcW w:w="851" w:type="dxa"/>
            <w:vAlign w:val="center"/>
          </w:tcPr>
          <w:p w14:paraId="60330B13" w14:textId="77777777" w:rsidR="00792164" w:rsidRPr="00E04159" w:rsidRDefault="00792164" w:rsidP="009B7CB4">
            <w:pPr>
              <w:ind w:firstLineChars="0" w:firstLine="0"/>
              <w:jc w:val="left"/>
              <w:rPr>
                <w:rFonts w:cs="Times New Roman"/>
                <w:sz w:val="18"/>
                <w:szCs w:val="18"/>
              </w:rPr>
            </w:pPr>
            <w:r w:rsidRPr="00E04159">
              <w:rPr>
                <w:rFonts w:cs="Times New Roman"/>
                <w:sz w:val="18"/>
                <w:szCs w:val="18"/>
              </w:rPr>
              <w:t>-</w:t>
            </w:r>
          </w:p>
        </w:tc>
        <w:tc>
          <w:tcPr>
            <w:tcW w:w="1275" w:type="dxa"/>
            <w:vAlign w:val="center"/>
          </w:tcPr>
          <w:p w14:paraId="213CC886"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1990" w:type="dxa"/>
            <w:vAlign w:val="center"/>
          </w:tcPr>
          <w:p w14:paraId="33E57062" w14:textId="77777777" w:rsidR="00792164" w:rsidRDefault="00792164" w:rsidP="009B7CB4">
            <w:pPr>
              <w:ind w:firstLineChars="0" w:firstLine="0"/>
              <w:jc w:val="left"/>
              <w:rPr>
                <w:rFonts w:cs="Times New Roman"/>
                <w:sz w:val="18"/>
                <w:szCs w:val="18"/>
              </w:rPr>
            </w:pPr>
            <w:r>
              <w:rPr>
                <w:rFonts w:cs="Times New Roman"/>
                <w:sz w:val="18"/>
                <w:szCs w:val="18"/>
              </w:rPr>
              <w:t>Auth</w:t>
            </w:r>
            <w:r w:rsidRPr="008D1BC1">
              <w:rPr>
                <w:rFonts w:cs="Times New Roman"/>
                <w:sz w:val="18"/>
                <w:szCs w:val="18"/>
              </w:rPr>
              <w:t>ors' assumptions</w:t>
            </w:r>
            <w:r>
              <w:rPr>
                <w:rFonts w:cs="Times New Roman"/>
                <w:sz w:val="18"/>
                <w:szCs w:val="18"/>
              </w:rPr>
              <w:t xml:space="preserve"> based on previous research</w:t>
            </w:r>
          </w:p>
        </w:tc>
      </w:tr>
      <w:tr w:rsidR="00792164" w14:paraId="4D8F5F61" w14:textId="77777777" w:rsidTr="009B7CB4">
        <w:trPr>
          <w:jc w:val="center"/>
        </w:trPr>
        <w:tc>
          <w:tcPr>
            <w:tcW w:w="2410" w:type="dxa"/>
            <w:vAlign w:val="center"/>
          </w:tcPr>
          <w:p w14:paraId="397261F4" w14:textId="77777777" w:rsidR="00792164" w:rsidRDefault="00792164" w:rsidP="009B7CB4">
            <w:pPr>
              <w:ind w:firstLineChars="0" w:firstLine="0"/>
              <w:jc w:val="left"/>
              <w:rPr>
                <w:rFonts w:cs="Times New Roman"/>
                <w:sz w:val="18"/>
                <w:szCs w:val="18"/>
              </w:rPr>
            </w:pPr>
            <w:r>
              <w:rPr>
                <w:rFonts w:cs="Times New Roman"/>
                <w:sz w:val="18"/>
                <w:szCs w:val="18"/>
              </w:rPr>
              <w:t>WTP premium for GM biofortified crops</w:t>
            </w:r>
          </w:p>
        </w:tc>
        <w:tc>
          <w:tcPr>
            <w:tcW w:w="1413" w:type="dxa"/>
            <w:vAlign w:val="center"/>
          </w:tcPr>
          <w:p w14:paraId="74249CFD" w14:textId="77777777" w:rsidR="00792164" w:rsidRDefault="00792164" w:rsidP="009B7CB4">
            <w:pPr>
              <w:ind w:firstLineChars="0" w:firstLine="0"/>
              <w:jc w:val="left"/>
              <w:rPr>
                <w:rFonts w:cs="Times New Roman"/>
                <w:color w:val="000000" w:themeColor="text1"/>
                <w:sz w:val="18"/>
                <w:szCs w:val="18"/>
              </w:rPr>
            </w:pPr>
            <w:r>
              <w:rPr>
                <w:rFonts w:cs="Times New Roman"/>
                <w:color w:val="000000" w:themeColor="text1"/>
                <w:sz w:val="18"/>
                <w:szCs w:val="18"/>
              </w:rPr>
              <w:t>20%</w:t>
            </w:r>
          </w:p>
        </w:tc>
        <w:tc>
          <w:tcPr>
            <w:tcW w:w="1843" w:type="dxa"/>
            <w:vAlign w:val="center"/>
          </w:tcPr>
          <w:p w14:paraId="3BA77D76" w14:textId="77777777" w:rsidR="00792164" w:rsidRDefault="00792164" w:rsidP="009B7CB4">
            <w:pPr>
              <w:ind w:firstLineChars="0" w:firstLine="0"/>
              <w:jc w:val="left"/>
              <w:rPr>
                <w:rFonts w:cs="Times New Roman"/>
                <w:color w:val="000000" w:themeColor="text1"/>
                <w:sz w:val="18"/>
                <w:szCs w:val="18"/>
              </w:rPr>
            </w:pPr>
            <w:r>
              <w:rPr>
                <w:rFonts w:cs="Times New Roman"/>
                <w:color w:val="000000" w:themeColor="text1"/>
                <w:sz w:val="18"/>
                <w:szCs w:val="18"/>
              </w:rPr>
              <w:t>10%, 40%</w:t>
            </w:r>
          </w:p>
        </w:tc>
        <w:tc>
          <w:tcPr>
            <w:tcW w:w="851" w:type="dxa"/>
            <w:vAlign w:val="center"/>
          </w:tcPr>
          <w:p w14:paraId="2384F2E8" w14:textId="77777777" w:rsidR="00792164" w:rsidRPr="00E04159" w:rsidRDefault="00792164" w:rsidP="009B7CB4">
            <w:pPr>
              <w:ind w:firstLineChars="0" w:firstLine="0"/>
              <w:jc w:val="left"/>
              <w:rPr>
                <w:rFonts w:cs="Times New Roman"/>
                <w:sz w:val="18"/>
                <w:szCs w:val="18"/>
              </w:rPr>
            </w:pPr>
            <w:r w:rsidRPr="00E04159">
              <w:rPr>
                <w:rFonts w:cs="Times New Roman"/>
                <w:sz w:val="18"/>
                <w:szCs w:val="18"/>
              </w:rPr>
              <w:t>-</w:t>
            </w:r>
          </w:p>
        </w:tc>
        <w:tc>
          <w:tcPr>
            <w:tcW w:w="1275" w:type="dxa"/>
            <w:vAlign w:val="center"/>
          </w:tcPr>
          <w:p w14:paraId="3E677C5B" w14:textId="77777777" w:rsidR="00792164" w:rsidRDefault="00792164" w:rsidP="009B7CB4">
            <w:pPr>
              <w:ind w:firstLineChars="0" w:firstLine="0"/>
              <w:jc w:val="left"/>
              <w:rPr>
                <w:rFonts w:cs="Times New Roman"/>
                <w:sz w:val="18"/>
                <w:szCs w:val="18"/>
              </w:rPr>
            </w:pPr>
            <w:r>
              <w:rPr>
                <w:rFonts w:cs="Times New Roman"/>
                <w:sz w:val="18"/>
                <w:szCs w:val="18"/>
              </w:rPr>
              <w:t>-</w:t>
            </w:r>
          </w:p>
        </w:tc>
        <w:tc>
          <w:tcPr>
            <w:tcW w:w="1990" w:type="dxa"/>
            <w:vAlign w:val="center"/>
          </w:tcPr>
          <w:p w14:paraId="231A933D" w14:textId="77777777" w:rsidR="00792164" w:rsidRDefault="00792164" w:rsidP="009B7CB4">
            <w:pPr>
              <w:ind w:firstLineChars="0" w:firstLine="0"/>
              <w:jc w:val="left"/>
              <w:rPr>
                <w:rFonts w:cs="Times New Roman"/>
                <w:sz w:val="18"/>
                <w:szCs w:val="18"/>
              </w:rPr>
            </w:pPr>
            <w:r>
              <w:rPr>
                <w:rFonts w:cs="Times New Roman"/>
                <w:sz w:val="18"/>
                <w:szCs w:val="18"/>
              </w:rPr>
              <w:t>Authors' assumptions based on previous research</w:t>
            </w:r>
          </w:p>
        </w:tc>
      </w:tr>
      <w:tr w:rsidR="00792164" w14:paraId="7946CD2B" w14:textId="77777777" w:rsidTr="009B7CB4">
        <w:trPr>
          <w:jc w:val="center"/>
        </w:trPr>
        <w:tc>
          <w:tcPr>
            <w:tcW w:w="2410" w:type="dxa"/>
            <w:vAlign w:val="center"/>
          </w:tcPr>
          <w:p w14:paraId="104AEC60" w14:textId="77777777" w:rsidR="00792164" w:rsidRPr="00276EF4"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w:t>
            </w:r>
            <w:r>
              <w:rPr>
                <w:rFonts w:eastAsiaTheme="minorEastAsia" w:cs="Times New Roman"/>
                <w:sz w:val="18"/>
                <w:szCs w:val="18"/>
              </w:rPr>
              <w:t>TP premium for non-GM biofortification</w:t>
            </w:r>
          </w:p>
        </w:tc>
        <w:tc>
          <w:tcPr>
            <w:tcW w:w="1413" w:type="dxa"/>
            <w:vAlign w:val="center"/>
          </w:tcPr>
          <w:p w14:paraId="255AD413" w14:textId="77777777" w:rsidR="00792164" w:rsidRPr="00276EF4" w:rsidRDefault="00792164" w:rsidP="009B7CB4">
            <w:pPr>
              <w:ind w:firstLineChars="0" w:firstLine="0"/>
              <w:jc w:val="left"/>
              <w:rPr>
                <w:rFonts w:eastAsiaTheme="minorEastAsia" w:cs="Times New Roman"/>
                <w:color w:val="000000" w:themeColor="text1"/>
                <w:sz w:val="18"/>
                <w:szCs w:val="18"/>
              </w:rPr>
            </w:pPr>
            <w:r>
              <w:rPr>
                <w:rFonts w:eastAsiaTheme="minorEastAsia" w:cs="Times New Roman" w:hint="eastAsia"/>
                <w:color w:val="000000" w:themeColor="text1"/>
                <w:sz w:val="18"/>
                <w:szCs w:val="18"/>
              </w:rPr>
              <w:t>3</w:t>
            </w:r>
            <w:r>
              <w:rPr>
                <w:rFonts w:eastAsiaTheme="minorEastAsia" w:cs="Times New Roman"/>
                <w:color w:val="000000" w:themeColor="text1"/>
                <w:sz w:val="18"/>
                <w:szCs w:val="18"/>
              </w:rPr>
              <w:t>6.5%</w:t>
            </w:r>
          </w:p>
        </w:tc>
        <w:tc>
          <w:tcPr>
            <w:tcW w:w="1843" w:type="dxa"/>
            <w:vAlign w:val="center"/>
          </w:tcPr>
          <w:p w14:paraId="2886B565" w14:textId="77777777" w:rsidR="00792164" w:rsidRPr="00276EF4" w:rsidRDefault="00792164" w:rsidP="009B7CB4">
            <w:pPr>
              <w:ind w:firstLineChars="0" w:firstLine="0"/>
              <w:jc w:val="left"/>
              <w:rPr>
                <w:rFonts w:eastAsiaTheme="minorEastAsia" w:cs="Times New Roman"/>
                <w:color w:val="000000" w:themeColor="text1"/>
                <w:sz w:val="18"/>
                <w:szCs w:val="18"/>
              </w:rPr>
            </w:pPr>
            <w:r>
              <w:rPr>
                <w:rFonts w:eastAsiaTheme="minorEastAsia" w:cs="Times New Roman" w:hint="eastAsia"/>
                <w:color w:val="000000" w:themeColor="text1"/>
                <w:sz w:val="18"/>
                <w:szCs w:val="18"/>
              </w:rPr>
              <w:t>-</w:t>
            </w:r>
          </w:p>
        </w:tc>
        <w:tc>
          <w:tcPr>
            <w:tcW w:w="851" w:type="dxa"/>
            <w:vAlign w:val="center"/>
          </w:tcPr>
          <w:p w14:paraId="52E9AB06" w14:textId="77777777" w:rsidR="00792164" w:rsidRPr="00276EF4"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t>
            </w:r>
          </w:p>
        </w:tc>
        <w:tc>
          <w:tcPr>
            <w:tcW w:w="1275" w:type="dxa"/>
            <w:vAlign w:val="center"/>
          </w:tcPr>
          <w:p w14:paraId="6952DC05" w14:textId="77777777" w:rsidR="00792164" w:rsidRPr="00276EF4"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t>
            </w:r>
          </w:p>
        </w:tc>
        <w:tc>
          <w:tcPr>
            <w:tcW w:w="1990" w:type="dxa"/>
            <w:vAlign w:val="center"/>
          </w:tcPr>
          <w:p w14:paraId="2ACF99AA" w14:textId="77777777" w:rsidR="00792164" w:rsidRDefault="00792164" w:rsidP="009B7CB4">
            <w:pPr>
              <w:ind w:firstLineChars="0" w:firstLine="0"/>
              <w:jc w:val="left"/>
              <w:rPr>
                <w:rFonts w:cs="Times New Roman"/>
                <w:sz w:val="18"/>
                <w:szCs w:val="18"/>
              </w:rPr>
            </w:pPr>
            <w:r>
              <w:rPr>
                <w:rFonts w:eastAsiaTheme="minorEastAsia" w:cs="Times New Roman" w:hint="eastAsia"/>
                <w:sz w:val="18"/>
                <w:szCs w:val="18"/>
              </w:rPr>
              <w:t>D</w:t>
            </w:r>
            <w:r>
              <w:rPr>
                <w:rFonts w:eastAsiaTheme="minorEastAsia" w:cs="Times New Roman"/>
                <w:sz w:val="18"/>
                <w:szCs w:val="18"/>
              </w:rPr>
              <w:t>e Steur et al., 2014</w:t>
            </w:r>
          </w:p>
        </w:tc>
      </w:tr>
      <w:tr w:rsidR="00792164" w14:paraId="2B9F3F1A" w14:textId="77777777" w:rsidTr="009B7CB4">
        <w:trPr>
          <w:jc w:val="center"/>
        </w:trPr>
        <w:tc>
          <w:tcPr>
            <w:tcW w:w="2410" w:type="dxa"/>
            <w:vAlign w:val="center"/>
          </w:tcPr>
          <w:p w14:paraId="2C39F697" w14:textId="77777777" w:rsidR="00792164" w:rsidRPr="00276EF4"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w:t>
            </w:r>
            <w:r>
              <w:rPr>
                <w:rFonts w:eastAsiaTheme="minorEastAsia" w:cs="Times New Roman"/>
                <w:sz w:val="18"/>
                <w:szCs w:val="18"/>
              </w:rPr>
              <w:t>TP premium for zinc supplementation</w:t>
            </w:r>
          </w:p>
        </w:tc>
        <w:tc>
          <w:tcPr>
            <w:tcW w:w="1413" w:type="dxa"/>
            <w:vAlign w:val="center"/>
          </w:tcPr>
          <w:p w14:paraId="46B5BE05" w14:textId="77777777" w:rsidR="00792164" w:rsidRPr="00276EF4" w:rsidRDefault="00792164" w:rsidP="009B7CB4">
            <w:pPr>
              <w:ind w:firstLineChars="0" w:firstLine="0"/>
              <w:jc w:val="left"/>
              <w:rPr>
                <w:rFonts w:eastAsiaTheme="minorEastAsia" w:cs="Times New Roman"/>
                <w:color w:val="000000" w:themeColor="text1"/>
                <w:sz w:val="18"/>
                <w:szCs w:val="18"/>
              </w:rPr>
            </w:pPr>
            <w:r>
              <w:rPr>
                <w:rFonts w:eastAsiaTheme="minorEastAsia" w:cs="Times New Roman" w:hint="eastAsia"/>
                <w:color w:val="000000" w:themeColor="text1"/>
                <w:sz w:val="18"/>
                <w:szCs w:val="18"/>
              </w:rPr>
              <w:t>1</w:t>
            </w:r>
            <w:r>
              <w:rPr>
                <w:rFonts w:eastAsiaTheme="minorEastAsia" w:cs="Times New Roman"/>
                <w:color w:val="000000" w:themeColor="text1"/>
                <w:sz w:val="18"/>
                <w:szCs w:val="18"/>
              </w:rPr>
              <w:t>9%</w:t>
            </w:r>
          </w:p>
        </w:tc>
        <w:tc>
          <w:tcPr>
            <w:tcW w:w="1843" w:type="dxa"/>
            <w:vAlign w:val="center"/>
          </w:tcPr>
          <w:p w14:paraId="4547A460" w14:textId="77777777" w:rsidR="00792164" w:rsidRPr="00276EF4" w:rsidRDefault="00792164" w:rsidP="009B7CB4">
            <w:pPr>
              <w:ind w:firstLineChars="0" w:firstLine="0"/>
              <w:jc w:val="left"/>
              <w:rPr>
                <w:rFonts w:eastAsiaTheme="minorEastAsia" w:cs="Times New Roman"/>
                <w:color w:val="000000" w:themeColor="text1"/>
                <w:sz w:val="18"/>
                <w:szCs w:val="18"/>
              </w:rPr>
            </w:pPr>
            <w:r>
              <w:rPr>
                <w:rFonts w:eastAsiaTheme="minorEastAsia" w:cs="Times New Roman" w:hint="eastAsia"/>
                <w:color w:val="000000" w:themeColor="text1"/>
                <w:sz w:val="18"/>
                <w:szCs w:val="18"/>
              </w:rPr>
              <w:t>-</w:t>
            </w:r>
          </w:p>
        </w:tc>
        <w:tc>
          <w:tcPr>
            <w:tcW w:w="851" w:type="dxa"/>
            <w:vAlign w:val="center"/>
          </w:tcPr>
          <w:p w14:paraId="6879D98E" w14:textId="77777777" w:rsidR="00792164" w:rsidRPr="00276EF4"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t>
            </w:r>
          </w:p>
        </w:tc>
        <w:tc>
          <w:tcPr>
            <w:tcW w:w="1275" w:type="dxa"/>
            <w:vAlign w:val="center"/>
          </w:tcPr>
          <w:p w14:paraId="259BFEE5" w14:textId="77777777" w:rsidR="00792164" w:rsidRPr="00276EF4"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t>
            </w:r>
          </w:p>
        </w:tc>
        <w:tc>
          <w:tcPr>
            <w:tcW w:w="1990" w:type="dxa"/>
            <w:vAlign w:val="center"/>
          </w:tcPr>
          <w:p w14:paraId="6C8E56A7" w14:textId="77777777" w:rsidR="00792164" w:rsidRPr="00276EF4"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D</w:t>
            </w:r>
            <w:r>
              <w:rPr>
                <w:rFonts w:eastAsiaTheme="minorEastAsia" w:cs="Times New Roman"/>
                <w:sz w:val="18"/>
                <w:szCs w:val="18"/>
              </w:rPr>
              <w:t>e Steur et al., 2014</w:t>
            </w:r>
          </w:p>
        </w:tc>
      </w:tr>
      <w:tr w:rsidR="00792164" w14:paraId="1D342215" w14:textId="77777777" w:rsidTr="009B7CB4">
        <w:trPr>
          <w:jc w:val="center"/>
        </w:trPr>
        <w:tc>
          <w:tcPr>
            <w:tcW w:w="2410" w:type="dxa"/>
            <w:vAlign w:val="center"/>
          </w:tcPr>
          <w:p w14:paraId="17449ACB" w14:textId="77777777" w:rsidR="00792164" w:rsidRPr="00276EF4"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w:t>
            </w:r>
            <w:r>
              <w:rPr>
                <w:rFonts w:eastAsiaTheme="minorEastAsia" w:cs="Times New Roman"/>
                <w:sz w:val="18"/>
                <w:szCs w:val="18"/>
              </w:rPr>
              <w:t>TP premium for zinc fortification</w:t>
            </w:r>
          </w:p>
        </w:tc>
        <w:tc>
          <w:tcPr>
            <w:tcW w:w="1413" w:type="dxa"/>
            <w:vAlign w:val="center"/>
          </w:tcPr>
          <w:p w14:paraId="3DF32920" w14:textId="77777777" w:rsidR="00792164" w:rsidRPr="00276EF4" w:rsidRDefault="00792164" w:rsidP="009B7CB4">
            <w:pPr>
              <w:ind w:firstLineChars="0" w:firstLine="0"/>
              <w:jc w:val="left"/>
              <w:rPr>
                <w:rFonts w:eastAsiaTheme="minorEastAsia" w:cs="Times New Roman"/>
                <w:color w:val="000000" w:themeColor="text1"/>
                <w:sz w:val="18"/>
                <w:szCs w:val="18"/>
              </w:rPr>
            </w:pPr>
            <w:r>
              <w:rPr>
                <w:rFonts w:eastAsiaTheme="minorEastAsia" w:cs="Times New Roman" w:hint="eastAsia"/>
                <w:color w:val="000000" w:themeColor="text1"/>
                <w:sz w:val="18"/>
                <w:szCs w:val="18"/>
              </w:rPr>
              <w:t>1</w:t>
            </w:r>
            <w:r>
              <w:rPr>
                <w:rFonts w:eastAsiaTheme="minorEastAsia" w:cs="Times New Roman"/>
                <w:color w:val="000000" w:themeColor="text1"/>
                <w:sz w:val="18"/>
                <w:szCs w:val="18"/>
              </w:rPr>
              <w:t>9%</w:t>
            </w:r>
          </w:p>
        </w:tc>
        <w:tc>
          <w:tcPr>
            <w:tcW w:w="1843" w:type="dxa"/>
            <w:vAlign w:val="center"/>
          </w:tcPr>
          <w:p w14:paraId="347D8020" w14:textId="77777777" w:rsidR="00792164" w:rsidRPr="00276EF4" w:rsidRDefault="00792164" w:rsidP="009B7CB4">
            <w:pPr>
              <w:ind w:firstLineChars="0" w:firstLine="0"/>
              <w:jc w:val="left"/>
              <w:rPr>
                <w:rFonts w:eastAsiaTheme="minorEastAsia" w:cs="Times New Roman"/>
                <w:color w:val="000000" w:themeColor="text1"/>
                <w:sz w:val="18"/>
                <w:szCs w:val="18"/>
              </w:rPr>
            </w:pPr>
            <w:r>
              <w:rPr>
                <w:rFonts w:eastAsiaTheme="minorEastAsia" w:cs="Times New Roman" w:hint="eastAsia"/>
                <w:color w:val="000000" w:themeColor="text1"/>
                <w:sz w:val="18"/>
                <w:szCs w:val="18"/>
              </w:rPr>
              <w:t>-</w:t>
            </w:r>
          </w:p>
        </w:tc>
        <w:tc>
          <w:tcPr>
            <w:tcW w:w="851" w:type="dxa"/>
            <w:vAlign w:val="center"/>
          </w:tcPr>
          <w:p w14:paraId="4DA91AC0" w14:textId="77777777" w:rsidR="00792164" w:rsidRPr="00276EF4"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t>
            </w:r>
          </w:p>
        </w:tc>
        <w:tc>
          <w:tcPr>
            <w:tcW w:w="1275" w:type="dxa"/>
            <w:vAlign w:val="center"/>
          </w:tcPr>
          <w:p w14:paraId="6B740A65" w14:textId="77777777" w:rsidR="00792164" w:rsidRPr="00276EF4"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t>
            </w:r>
          </w:p>
        </w:tc>
        <w:tc>
          <w:tcPr>
            <w:tcW w:w="1990" w:type="dxa"/>
            <w:vAlign w:val="center"/>
          </w:tcPr>
          <w:p w14:paraId="5DBFABF1" w14:textId="77777777" w:rsidR="00792164" w:rsidRPr="00276EF4"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A</w:t>
            </w:r>
            <w:r>
              <w:rPr>
                <w:rFonts w:eastAsiaTheme="minorEastAsia" w:cs="Times New Roman"/>
                <w:sz w:val="18"/>
                <w:szCs w:val="18"/>
              </w:rPr>
              <w:t>ssumed by authors</w:t>
            </w:r>
          </w:p>
        </w:tc>
      </w:tr>
    </w:tbl>
    <w:p w14:paraId="740C37D3" w14:textId="77777777" w:rsidR="00792164" w:rsidRDefault="00792164" w:rsidP="00792164">
      <w:pPr>
        <w:widowControl/>
        <w:ind w:firstLineChars="0" w:firstLine="0"/>
        <w:jc w:val="left"/>
        <w:rPr>
          <w:rFonts w:cs="Times New Roman"/>
          <w:sz w:val="18"/>
          <w:szCs w:val="18"/>
        </w:rPr>
      </w:pPr>
      <w:r w:rsidRPr="00AD5503">
        <w:rPr>
          <w:rFonts w:cs="Times New Roman" w:hint="eastAsia"/>
          <w:sz w:val="18"/>
          <w:szCs w:val="18"/>
        </w:rPr>
        <w:t>N</w:t>
      </w:r>
      <w:r>
        <w:rPr>
          <w:rFonts w:cs="Times New Roman"/>
          <w:sz w:val="18"/>
          <w:szCs w:val="18"/>
        </w:rPr>
        <w:t>ote:</w:t>
      </w:r>
      <w:bookmarkStart w:id="8" w:name="_Hlk141468608"/>
      <w:r>
        <w:rPr>
          <w:rFonts w:cs="Times New Roman"/>
          <w:sz w:val="18"/>
          <w:szCs w:val="18"/>
        </w:rPr>
        <w:t xml:space="preserve"> </w:t>
      </w:r>
      <w:bookmarkStart w:id="9" w:name="_Hlk141462981"/>
      <w:r w:rsidRPr="00185927">
        <w:rPr>
          <w:rFonts w:cs="Times New Roman"/>
          <w:sz w:val="18"/>
          <w:szCs w:val="18"/>
        </w:rPr>
        <w:t>The direct cost includes the cost of intervention and the opportunity costs of formal healthcare goods and services, covering the cost of intervention implementation, medical expenses for pneumonia treatment, and anemia treatment.</w:t>
      </w:r>
      <w:bookmarkEnd w:id="8"/>
      <w:r>
        <w:rPr>
          <w:rFonts w:cs="Times New Roman"/>
          <w:sz w:val="18"/>
          <w:szCs w:val="18"/>
        </w:rPr>
        <w:t xml:space="preserve"> Pneumonia treatment cost = cost pneumonia hospitalized*pneumonia hospitalization rate + cost pneumonia non-hospitalized*(1- pneumonia hospitalization rate); Anemia</w:t>
      </w:r>
      <w:r w:rsidRPr="00BE5FAF">
        <w:rPr>
          <w:rFonts w:cs="Times New Roman"/>
          <w:sz w:val="18"/>
          <w:szCs w:val="18"/>
        </w:rPr>
        <w:t xml:space="preserve"> treatment cost = cost </w:t>
      </w:r>
      <w:r>
        <w:rPr>
          <w:rFonts w:cs="Times New Roman"/>
          <w:sz w:val="18"/>
          <w:szCs w:val="18"/>
        </w:rPr>
        <w:t>anemia</w:t>
      </w:r>
      <w:r w:rsidRPr="00BE5FAF">
        <w:rPr>
          <w:rFonts w:cs="Times New Roman"/>
          <w:sz w:val="18"/>
          <w:szCs w:val="18"/>
        </w:rPr>
        <w:t xml:space="preserve"> hospitalized*</w:t>
      </w:r>
      <w:r>
        <w:rPr>
          <w:rFonts w:cs="Times New Roman"/>
          <w:sz w:val="18"/>
          <w:szCs w:val="18"/>
        </w:rPr>
        <w:t>anemia</w:t>
      </w:r>
      <w:r w:rsidRPr="00BE5FAF">
        <w:rPr>
          <w:rFonts w:cs="Times New Roman"/>
          <w:sz w:val="18"/>
          <w:szCs w:val="18"/>
        </w:rPr>
        <w:t xml:space="preserve"> hospitalization rate + cost </w:t>
      </w:r>
      <w:r>
        <w:rPr>
          <w:rFonts w:cs="Times New Roman"/>
          <w:sz w:val="18"/>
          <w:szCs w:val="18"/>
        </w:rPr>
        <w:t>of anemia</w:t>
      </w:r>
      <w:r w:rsidRPr="00BE5FAF">
        <w:rPr>
          <w:rFonts w:cs="Times New Roman"/>
          <w:sz w:val="18"/>
          <w:szCs w:val="18"/>
        </w:rPr>
        <w:t xml:space="preserve"> non-hospitalized*(1- </w:t>
      </w:r>
      <w:r>
        <w:rPr>
          <w:rFonts w:cs="Times New Roman"/>
          <w:sz w:val="18"/>
          <w:szCs w:val="18"/>
        </w:rPr>
        <w:t>anemia</w:t>
      </w:r>
      <w:r w:rsidRPr="00BE5FAF">
        <w:rPr>
          <w:rFonts w:cs="Times New Roman"/>
          <w:sz w:val="18"/>
          <w:szCs w:val="18"/>
        </w:rPr>
        <w:t xml:space="preserve"> hospitalization rate)</w:t>
      </w:r>
      <w:r>
        <w:rPr>
          <w:rFonts w:cs="Times New Roman"/>
          <w:sz w:val="18"/>
          <w:szCs w:val="18"/>
        </w:rPr>
        <w:t xml:space="preserve">; Intervention cost = cost of zinc intervention per capita*population of target group; </w:t>
      </w:r>
    </w:p>
    <w:p w14:paraId="13C67C56" w14:textId="77777777" w:rsidR="00792164" w:rsidRDefault="00792164" w:rsidP="00792164">
      <w:pPr>
        <w:widowControl/>
        <w:ind w:firstLineChars="0" w:firstLine="0"/>
        <w:jc w:val="left"/>
        <w:rPr>
          <w:rFonts w:eastAsiaTheme="minorEastAsia" w:cs="Times New Roman"/>
          <w:sz w:val="18"/>
          <w:szCs w:val="18"/>
        </w:rPr>
      </w:pPr>
      <w:bookmarkStart w:id="10" w:name="_Hlk141468633"/>
      <w:r>
        <w:rPr>
          <w:rFonts w:eastAsiaTheme="minorEastAsia" w:cs="Times New Roman" w:hint="eastAsia"/>
          <w:sz w:val="18"/>
          <w:szCs w:val="18"/>
        </w:rPr>
        <w:t>I</w:t>
      </w:r>
      <w:r>
        <w:rPr>
          <w:rFonts w:eastAsiaTheme="minorEastAsia" w:cs="Times New Roman"/>
          <w:sz w:val="18"/>
          <w:szCs w:val="18"/>
        </w:rPr>
        <w:t xml:space="preserve">ndirect cost refers to the cost of consumers utility or welfare, which is </w:t>
      </w:r>
      <w:r w:rsidRPr="00185927">
        <w:rPr>
          <w:rFonts w:eastAsiaTheme="minorEastAsia" w:cs="Times New Roman"/>
          <w:sz w:val="18"/>
          <w:szCs w:val="18"/>
        </w:rPr>
        <w:t>monet</w:t>
      </w:r>
      <w:r>
        <w:rPr>
          <w:rFonts w:eastAsiaTheme="minorEastAsia" w:cs="Times New Roman"/>
          <w:sz w:val="18"/>
          <w:szCs w:val="18"/>
        </w:rPr>
        <w:t>arized by WTP</w:t>
      </w:r>
      <w:bookmarkEnd w:id="10"/>
      <w:r>
        <w:rPr>
          <w:rFonts w:eastAsiaTheme="minorEastAsia" w:cs="Times New Roman"/>
          <w:sz w:val="18"/>
          <w:szCs w:val="18"/>
        </w:rPr>
        <w:t xml:space="preserve">. </w:t>
      </w:r>
      <w:r w:rsidRPr="00284A1B">
        <w:rPr>
          <w:rFonts w:eastAsiaTheme="minorEastAsia" w:cs="Times New Roman"/>
          <w:sz w:val="18"/>
          <w:szCs w:val="18"/>
        </w:rPr>
        <w:t>Indirect cost = utility cost of consumers derived from the intervention*annual wheat consumption volume = (WTP premium or discount for interventions*wheat price) * (annual wheat consumption per person* population of target group)</w:t>
      </w:r>
    </w:p>
    <w:bookmarkEnd w:id="9"/>
    <w:p w14:paraId="17A9F3DB" w14:textId="77777777" w:rsidR="003665EA" w:rsidRPr="00EA70CC" w:rsidRDefault="003665EA" w:rsidP="00792164">
      <w:pPr>
        <w:ind w:firstLineChars="0" w:firstLine="0"/>
        <w:rPr>
          <w:rFonts w:eastAsiaTheme="minorEastAsia"/>
        </w:rPr>
      </w:pPr>
    </w:p>
    <w:p w14:paraId="3E88E2CF" w14:textId="77777777" w:rsidR="00035381" w:rsidRDefault="00565304" w:rsidP="005A0304">
      <w:pPr>
        <w:pStyle w:val="Subtitle"/>
        <w:ind w:firstLine="480"/>
      </w:pPr>
      <w:r>
        <w:t>The health efficacy of interventions</w:t>
      </w:r>
    </w:p>
    <w:p w14:paraId="39671677" w14:textId="05F10C17" w:rsidR="00314198" w:rsidRDefault="00565304" w:rsidP="005A0304">
      <w:pPr>
        <w:pStyle w:val="Subtitle"/>
        <w:ind w:firstLine="480"/>
        <w:rPr>
          <w:i w:val="0"/>
          <w:iCs/>
        </w:rPr>
      </w:pPr>
      <w:r w:rsidRPr="00FB43FE">
        <w:rPr>
          <w:rFonts w:eastAsia="Times New Roman" w:cs="Times New Roman"/>
          <w:bCs w:val="0"/>
          <w:i w:val="0"/>
          <w:kern w:val="2"/>
          <w:szCs w:val="24"/>
        </w:rPr>
        <w:t>The relationship between the interventions and the risk of pneumonia is derived from related RCTs.</w:t>
      </w:r>
      <w:r w:rsidRPr="00DF4F27">
        <w:rPr>
          <w:i w:val="0"/>
          <w:iCs/>
        </w:rPr>
        <w:t xml:space="preserve"> </w:t>
      </w:r>
      <w:r w:rsidR="00DF4F27" w:rsidRPr="00DF4F27">
        <w:rPr>
          <w:i w:val="0"/>
          <w:iCs/>
        </w:rPr>
        <w:t xml:space="preserve">Due to a lack of research on Chinese children, the efficacy of </w:t>
      </w:r>
      <w:r w:rsidR="00DF4F27" w:rsidRPr="00DF4F27">
        <w:rPr>
          <w:i w:val="0"/>
          <w:iCs/>
        </w:rPr>
        <w:lastRenderedPageBreak/>
        <w:t>preventive zinc supplementation and food fortification was based on a systematic review of 18 cohort studies conducted by</w:t>
      </w:r>
      <w:r w:rsidR="00DF4F27">
        <w:rPr>
          <w:i w:val="0"/>
          <w:iCs/>
        </w:rPr>
        <w:fldChar w:fldCharType="begin" w:fldLock="1"/>
      </w:r>
      <w:r w:rsidR="00DF4F27">
        <w:rPr>
          <w:i w:val="0"/>
          <w:iCs/>
        </w:rPr>
        <w:instrText>ADDIN CSL_CITATION {"citationItems":[{"id":"ITEM-1","itemData":{"DOI":"10.1016/S0140-6736(13)60996-4","ISSN":"1474547X","PMID":"23746776","abstract":"Maternal undernutrition contributes to 800000 neonatal deaths annually through small for gestational age births; stunting, wasting, and micronutrient deficiencies are estimated to underlie nearly 3·1 million child deaths annually. Progress has been made with many interventions implemented at scale and the evidence for effectiveness of nutrition interventions and delivery strategies has grown since The Lancet Series on Maternal and Child Undernutrition in 2008. We did a comprehensive update of interventions to address undernutrition and micronutrient deficiencies in women and children and used standard methods to assess emerging new evidence for delivery platforms. We modelled the effect on lives saved and cost of these interventions in the 34 countries that have 90% of the world's children with stunted growth. We also examined the effect of various delivery platforms and delivery options using community health workers to engage poor populations and promote behaviour change, access and uptake of interventions. Our analysis suggests the current total of deaths in children younger than 5 years can be reduced by 15% if populations can access ten evidence-based nutrition interventions at 90% coverage. Additionally, access to and uptake of iodised salt can alleviate iodine deficiency and improve health outcomes. Accelerated gains are possible and about a fifth of the existing burden of stunting can be averted using these approaches, if access is improved in this way. The estimated total additional annual cost involved for scaling up access to these ten direct nutrition interventions in the 34 focus countries is Int$9·6 billion per year. Continued investments in nutrition-specific interventions to avert maternal and child undernutrition and micronutrient deficiencies through community engagement and delivery strategies that can reach poor segments of the population at greatest risk can make a great difference. If this improved access is linked to nutrition-sensitive approaches - ie, women's empowerment, agriculture, food systems, education, employment, social protection, and safety nets - they can greatly accelerate progress in countries with the highest burden of maternal and child undernutrition and mortality. © 2013 Elsevier Ltd.","author":[{"dropping-particle":"","family":"Bhutta","given":"Zulfiqar A.","non-dropping-particle":"","parse-names":false,"suffix":""},{"dropping-particle":"","family":"Das","given":"Jai K.","non-dropping-particle":"","parse-names":false,"suffix":""},{"dropping-particle":"","family":"Rizvi","given":"Arjumand","non-dropping-particle":"","parse-names":false,"suffix":""},{"dropping-particle":"","family":"Gaffey","given":"Michelle F.","non-dropping-particle":"","parse-names":false,"suffix":""},{"dropping-particle":"","family":"Walker","given":"Neff","non-dropping-particle":"","parse-names":false,"suffix":""},{"dropping-particle":"","family":"Horton","given":"Susan","non-dropping-particle":"","parse-names":false,"suffix":""},{"dropping-particle":"","family":"Webb","given":"Patrick","non-dropping-particle":"","parse-names":false,"suffix":""},{"dropping-particle":"","family":"Lartey","given":"Anna","non-dropping-particle":"","parse-names":false,"suffix":""},{"dropping-particle":"","family":"Black","given":"Robert E.","non-dropping-particle":"","parse-names":false,"suffix":""}],"container-title":"The Lancet","id":"ITEM-1","issue":"9890","issued":{"date-parts":[["2013"]]},"page":"452-477","title":"Evidence-based interventions for improvement of maternal and child nutrition: What can be done and at what cost?","type":"article-journal","volume":"382"},"uris":["http://www.mendeley.com/documents/?uuid=d20a3d3c-994f-408d-ab33-83072583512b"]}],"mendeley":{"formattedCitation":"(Bhutta &lt;i&gt;et al.&lt;/i&gt;, 2013)","manualFormatting":" Bhutta et al. (2013)","plainTextFormattedCitation":"(Bhutta et al., 2013)","previouslyFormattedCitation":"(Bhutta &lt;i&gt;et al.&lt;/i&gt;, 2013)"},"properties":{"noteIndex":0},"schema":"https://github.com/citation-style-language/schema/raw/master/csl-citation.json"}</w:instrText>
      </w:r>
      <w:r w:rsidR="00DF4F27">
        <w:rPr>
          <w:i w:val="0"/>
          <w:iCs/>
        </w:rPr>
        <w:fldChar w:fldCharType="separate"/>
      </w:r>
      <w:r w:rsidR="00DF4F27">
        <w:rPr>
          <w:i w:val="0"/>
          <w:iCs/>
          <w:noProof/>
        </w:rPr>
        <w:t xml:space="preserve"> </w:t>
      </w:r>
      <w:r w:rsidR="00DF4F27" w:rsidRPr="00DF4F27">
        <w:rPr>
          <w:i w:val="0"/>
          <w:iCs/>
          <w:noProof/>
        </w:rPr>
        <w:t xml:space="preserve">Bhutta </w:t>
      </w:r>
      <w:r w:rsidR="00DF4F27" w:rsidRPr="00DF4F27">
        <w:rPr>
          <w:iCs/>
          <w:noProof/>
        </w:rPr>
        <w:t>et al.</w:t>
      </w:r>
      <w:r w:rsidR="00DF4F27">
        <w:rPr>
          <w:i w:val="0"/>
          <w:iCs/>
          <w:noProof/>
        </w:rPr>
        <w:t xml:space="preserve"> (</w:t>
      </w:r>
      <w:r w:rsidR="00DF4F27" w:rsidRPr="00DF4F27">
        <w:rPr>
          <w:i w:val="0"/>
          <w:iCs/>
          <w:noProof/>
        </w:rPr>
        <w:t>2013)</w:t>
      </w:r>
      <w:r w:rsidR="00DF4F27">
        <w:rPr>
          <w:i w:val="0"/>
          <w:iCs/>
        </w:rPr>
        <w:fldChar w:fldCharType="end"/>
      </w:r>
      <w:r w:rsidR="00DF4F27" w:rsidRPr="00DF4F27">
        <w:rPr>
          <w:i w:val="0"/>
          <w:iCs/>
        </w:rPr>
        <w:t>, in which they found that pneumonia in developing countries would reduce by 19% (95%CI 10-27,p=0.05) at post-intervention stage. The efficacy of zinc-biofortified wheat flour is based on the study of</w:t>
      </w:r>
      <w:r w:rsidR="00DF4F27">
        <w:rPr>
          <w:i w:val="0"/>
          <w:iCs/>
        </w:rPr>
        <w:fldChar w:fldCharType="begin" w:fldLock="1"/>
      </w:r>
      <w:r w:rsidR="00DF4F27">
        <w:rPr>
          <w:i w:val="0"/>
          <w:iCs/>
        </w:rPr>
        <w:instrText xml:space="preserve">ADDIN CSL_CITATION {"citationItems":[{"id":"ITEM-1","itemData":{"DOI":"10.1186/s12937-018-0391-5","ISSN":"14752891","PMID":"30219062","abstract":"Background: Biofortification of staple food crops with zinc (Zn) can be one of the cost-effective and sustainable strategies to combat zinc deficiency and prevent morbidity among the target population. Agronomic approaches such as application of Zn fertilizers to soil and/or foliar spray seem to be a practical tool for Zn biofortification of wheat. However, there is a need to evaluate its efficacy from randomized controlled trials. This study aimed to evaluate the efficacy of zinc biofortified wheat flour on zinc status and its impact on morbidity among children aged 4-6 years and non-pregnant non lactating woman of child bearing age (WCBA) in Delhi, India. Methods: In a community based, double-masked randomized controlled trial, 6005 participants (WCBA and child pairs) were enrolled and randomly allocated to receive either high zinc biofortified wheat flour (HZn, 30 ppm zinc daily) or low zinc biofortified wheat flour (LZn, 20 ppm zinc daily) for 6 months (WCBA @ 360 g/day and children @ 120 g/day). Baseline and endline blood samples were obtained for assessing hematological markers; zinc status and data on compliance and morbidity were collected. Results: Compliance rates were high; </w:instrText>
      </w:r>
      <w:r w:rsidR="00DF4F27">
        <w:rPr>
          <w:rFonts w:ascii="Cambria Math" w:hAnsi="Cambria Math" w:cs="Cambria Math"/>
          <w:i w:val="0"/>
          <w:iCs/>
        </w:rPr>
        <w:instrText>∼</w:instrText>
      </w:r>
      <w:r w:rsidR="00DF4F27">
        <w:rPr>
          <w:i w:val="0"/>
          <w:iCs/>
        </w:rPr>
        <w:instrText xml:space="preserve"> 88% of the WCBAs in both the groups consumed 50% or more of recommended amount of biofortfied wheat flour during the follow up. Similarly 86.9% children in HZn and 87.5% in LZn consumed 50% or more of recommended wheat flour intake. There was no significant difference in mean zinc levels between the groups at end study. This observation might be due to a marginal difference in zinc content (10 ppm) between the HZn and LZn wheat flour, and a short intervention period. However a positive impact of bio-fortification on self-reported morbidity was observed. Compared to children in LZn group, children in HZn group had 17% (95% CI: 6 to 31%, p = 0.05) and 40% (95% CI: 16 to 57%; p = 0.0019) reduction in days with pneumonia and vomiting respectively. WCBA in the HZn group also showed a statistically significant 9% fewer days with fever compared to LZn group. Conclusions: Biofortified wheat flour had a good compliance among children and WCBAs. Significant improvement on some of the self-reported morbidity indicators suggests that evaluating longer-term effects of biofortification with higher grain zinc content would be more appropriate. Trial registration: http://ctri.nic.in/Clinicaltrials/, CTRI/2014/04/004527, Registered April 7, 2014.","author":[{"dropping-particle":"","family":"Sazawal","given":"Sunil","non-dropping-particle":"","parse-names":false,"suffix":""},{"dropping-particle":"","family":"Dhingra","given":"Usha","non-dropping-particle":"","parse-names":false,"suffix":""},{"dropping-particle":"","family":"Dhingra","given":"Pratibha","non-dropping-particle":"","parse-names":false,"suffix":""},{"dropping-particle":"","family":"Dutta","given":"Arup","non-dropping-particle":"","parse-names":false,"suffix":""},{"dropping-particle":"","family":"Deb","given":"Saikat","non-dropping-particle":"","parse-names":false,"suffix":""},{"dropping-particle":"","family":"Kumar","given":"Jitendra","non-dropping-particle":"","parse-names":false,"suffix":""},{"dropping-particle":"","family":"Devi","given":"Prabhabati","non-dropping-particle":"","parse-names":false,"suffix":""},{"dropping-particle":"","family":"Prakash","given":"Ashish","non-dropping-particle":"","parse-names":false,"suffix":""}],"container-title":"Nutrition Journal","id":"ITEM-1","issued":{"date-parts":[["2018"]]},"page":"86","publisher":"Nutrition Journal","title":"Efficacy of high zinc biofortified wheat in improvement of micronutrient status, and prevention of morbidity among preschool children and women - A double masked, randomized, controlled trial 11 Medical and Health Sciences 1117 Public Health and Health Se","type":"article-journal","volume":"17"},"uris":["http://www.mendeley.com/documents/?uuid=8921160c-7053-433e-9715-bab689dbb674"]}],"mendeley":{"formattedCitation":"(Sazawal &lt;i&gt;et al.&lt;/i&gt;, 2018)","manualFormatting":" Sazawal et al. (2018)","plainTextFormattedCitation":"(Sazawal et al., 2018)","previouslyFormattedCitation":"(Sazawal &lt;i&gt;et al.&lt;/i&gt;, 2018)"},"properties":{"noteIndex":0},"schema":"https://github.com/citation-style-language/schema/raw/master/csl-citation.json"}</w:instrText>
      </w:r>
      <w:r w:rsidR="00DF4F27">
        <w:rPr>
          <w:i w:val="0"/>
          <w:iCs/>
        </w:rPr>
        <w:fldChar w:fldCharType="separate"/>
      </w:r>
      <w:r w:rsidR="00DF4F27">
        <w:rPr>
          <w:i w:val="0"/>
          <w:iCs/>
          <w:noProof/>
        </w:rPr>
        <w:t xml:space="preserve"> </w:t>
      </w:r>
      <w:r w:rsidR="00DF4F27" w:rsidRPr="00DF4F27">
        <w:rPr>
          <w:i w:val="0"/>
          <w:iCs/>
          <w:noProof/>
        </w:rPr>
        <w:t xml:space="preserve">Sazawal </w:t>
      </w:r>
      <w:r w:rsidR="00DF4F27" w:rsidRPr="00DF4F27">
        <w:rPr>
          <w:iCs/>
          <w:noProof/>
        </w:rPr>
        <w:t>et al.</w:t>
      </w:r>
      <w:r w:rsidR="00DF4F27">
        <w:rPr>
          <w:i w:val="0"/>
          <w:iCs/>
          <w:noProof/>
        </w:rPr>
        <w:t xml:space="preserve"> (</w:t>
      </w:r>
      <w:r w:rsidR="00DF4F27" w:rsidRPr="00DF4F27">
        <w:rPr>
          <w:i w:val="0"/>
          <w:iCs/>
          <w:noProof/>
        </w:rPr>
        <w:t>2018)</w:t>
      </w:r>
      <w:r w:rsidR="00DF4F27">
        <w:rPr>
          <w:i w:val="0"/>
          <w:iCs/>
        </w:rPr>
        <w:fldChar w:fldCharType="end"/>
      </w:r>
      <w:r w:rsidR="00DF4F27" w:rsidRPr="00DF4F27">
        <w:rPr>
          <w:i w:val="0"/>
          <w:iCs/>
        </w:rPr>
        <w:t>, a community-based, double-masked RCT with 2893 children. These participants received zinc-biofortified wheat flour with high zinc contents to consume for six months. The results showed that high zinc wheat flour could reduce the prevalence of pneumonia in children by 17% (95% CI: 6 to 31%, p=0.05). Considering that the evidence for zinc biofortification was derived from a single RCT, in which 10ppm extra zinc was consumed from biofortified wheat by Indian children with low zinc plasma levels, it is necessary to adjust this evidence to extrapolate their finding to our target population. A common strategy for extrapolation is using Bayesian method</w:t>
      </w:r>
      <w:r w:rsidR="00DF4F27" w:rsidRPr="00DF4F27">
        <w:rPr>
          <w:i w:val="0"/>
          <w:iCs/>
        </w:rPr>
        <w:fldChar w:fldCharType="begin" w:fldLock="1"/>
      </w:r>
      <w:r w:rsidR="00DF4F27" w:rsidRPr="00DF4F27">
        <w:rPr>
          <w:i w:val="0"/>
          <w:iCs/>
        </w:rPr>
        <w:instrText>ADDIN CSL_CITATION {"citationItems":[{"id":"ITEM-1","itemData":{"ISSN":"1879-4912","author":[{"dropping-particle":"","family":"Khosrowi","given":"Donal","non-dropping-particle":"","parse-names":false,"suffix":""}],"container-title":"European Journal for Philosophy of Science","id":"ITEM-1","issue":"2","issued":{"date-parts":[["2023"]]},"page":"18","publisher":"Springer","title":"Extrapolating from experiments, confidently","type":"article-journal","volume":"13"},"uris":["http://www.mendeley.com/documents/?uuid=de05259c-ad36-412c-a811-458f311bcf09"]}],"mendeley":{"formattedCitation":"(Khosrowi, 2023)","plainTextFormattedCitation":"(Khosrowi, 2023)","previouslyFormattedCitation":"(Khosrowi, 2023)"},"properties":{"noteIndex":0},"schema":"https://github.com/citation-style-language/schema/raw/master/csl-citation.json"}</w:instrText>
      </w:r>
      <w:r w:rsidR="00DF4F27" w:rsidRPr="00DF4F27">
        <w:rPr>
          <w:i w:val="0"/>
          <w:iCs/>
        </w:rPr>
        <w:fldChar w:fldCharType="separate"/>
      </w:r>
      <w:r w:rsidR="00DF4F27" w:rsidRPr="00DF4F27">
        <w:rPr>
          <w:i w:val="0"/>
          <w:iCs/>
          <w:noProof/>
        </w:rPr>
        <w:t>(Khosrowi, 2023)</w:t>
      </w:r>
      <w:r w:rsidR="00DF4F27" w:rsidRPr="00DF4F27">
        <w:rPr>
          <w:i w:val="0"/>
          <w:iCs/>
        </w:rPr>
        <w:fldChar w:fldCharType="end"/>
      </w:r>
      <w:r w:rsidR="00DF4F27" w:rsidRPr="00DF4F27">
        <w:rPr>
          <w:i w:val="0"/>
          <w:iCs/>
        </w:rPr>
        <w:t>. Previous studies proved that the effectiveness of consuming supplemental zinc could be a predictor of the population zinc status. For instance, the effectiveness of supplemental zinc is greater among populations with a higher prevalence of zinc deficiency</w:t>
      </w:r>
      <w:r w:rsidR="00DF4F27">
        <w:rPr>
          <w:i w:val="0"/>
          <w:iCs/>
        </w:rPr>
        <w:fldChar w:fldCharType="begin" w:fldLock="1"/>
      </w:r>
      <w:r w:rsidR="00DF4F27">
        <w:rPr>
          <w:i w:val="0"/>
          <w:iCs/>
        </w:rPr>
        <w:instrText>ADDIN CSL_CITATION {"citationItems":[{"id":"ITEM-1","itemData":{"ISSN":"1753-4887","author":[{"dropping-particle":"","family":"Hotz","given":"Christine","non-dropping-particle":"","parse-names":false,"suffix":""}],"container-title":"Nutrition reviews","id":"ITEM-1","issue":"3","issued":{"date-parts":[["2001"]]},"page":"80-84","publisher":"Oxford University Press Oxford, UK","title":"Identifying populations at risk of zinc deficiency: the use of supplementation trials","type":"article-journal","volume":"59"},"uris":["http://www.mendeley.com/documents/?uuid=e1164a7a-1a18-4d7d-88d6-dca50afb80f1"]}],"mendeley":{"formattedCitation":"(Hotz, 2001)","plainTextFormattedCitation":"(Hotz, 2001)","previouslyFormattedCitation":"(Hotz, 2001)"},"properties":{"noteIndex":0},"schema":"https://github.com/citation-style-language/schema/raw/master/csl-citation.json"}</w:instrText>
      </w:r>
      <w:r w:rsidR="00DF4F27">
        <w:rPr>
          <w:i w:val="0"/>
          <w:iCs/>
        </w:rPr>
        <w:fldChar w:fldCharType="separate"/>
      </w:r>
      <w:r w:rsidR="00DF4F27" w:rsidRPr="00DF4F27">
        <w:rPr>
          <w:i w:val="0"/>
          <w:iCs/>
          <w:noProof/>
        </w:rPr>
        <w:t>(Hotz, 2001)</w:t>
      </w:r>
      <w:r w:rsidR="00DF4F27">
        <w:rPr>
          <w:i w:val="0"/>
          <w:iCs/>
        </w:rPr>
        <w:fldChar w:fldCharType="end"/>
      </w:r>
      <w:r w:rsidR="00DF4F27" w:rsidRPr="00DF4F27">
        <w:rPr>
          <w:i w:val="0"/>
          <w:iCs/>
        </w:rPr>
        <w:t xml:space="preserve">. There is also a linear relationship between the effect size of zinc intervention and the zinc status of the population </w:t>
      </w:r>
      <w:r w:rsidR="00DF4F27" w:rsidRPr="00DF4F27">
        <w:rPr>
          <w:i w:val="0"/>
          <w:iCs/>
        </w:rPr>
        <w:fldChar w:fldCharType="begin" w:fldLock="1"/>
      </w:r>
      <w:r w:rsidR="00DF4F27">
        <w:rPr>
          <w:i w:val="0"/>
          <w:iCs/>
        </w:rPr>
        <w:instrText>ADDIN CSL_CITATION {"citationItems":[{"id":"ITEM-1","itemData":{"ISSN":"1475-2662","author":[{"dropping-particle":"","family":"Gibson","given":"Rosalind S","non-dropping-particle":"","parse-names":false,"suffix":""},{"dropping-particle":"","family":"Hess","given":"Sonja Y","non-dropping-particle":"","parse-names":false,"suffix":""},{"dropping-particle":"","family":"Hotz","given":"Christine","non-dropping-particle":"","parse-names":false,"suffix":""},{"dropping-particle":"","family":"Brown","given":"Kenneth H","non-dropping-particle":"","parse-names":false,"suffix":""}],"container-title":"British Journal of Nutrition","id":"ITEM-1","issue":"S3","issued":{"date-parts":[["2008"]]},"page":"S14-S23","publisher":"Cambridge University Press","title":"Indicators of zinc status at the population level: a review of the evidence","type":"article-journal","volume":"99"},"uris":["http://www.mendeley.com/documents/?uuid=c7ed3fbd-b9fe-4d3d-a0f9-21bf4af5fdb9"]},{"id":"ITEM-2","itemData":{"ISSN":"0379-5721","author":[{"dropping-particle":"","family":"Hess","given":"Sonja Y","non-dropping-particle":"","parse-names":false,"suffix":""},{"dropping-particle":"","family":"Peerson","given":"Janet M","non-dropping-particle":"","parse-names":false,"suffix":""},{"dropping-particle":"","family":"King","given":"Janet C","non-dropping-particle":"","parse-names":false,"suffix":""},{"dropping-particle":"","family":"Brown","given":"Kenneth H","non-dropping-particle":"","parse-names":false,"suffix":""}],"container-title":"Food and nutrition bulletin","id":"ITEM-2","issue":"3_suppl3","issued":{"date-parts":[["2007"]]},"page":"S403-S429","publisher":"SAGE Publications Sage CA: Los Angeles, CA","title":"Use of serum zinc concentration as an indicator of population zinc status","type":"article-journal","volume":"28"},"uris":["http://www.mendeley.com/documents/?uuid=f9ff3341-531a-4ce1-adf5-0b30dacb95d0"]}],"mendeley":{"formattedCitation":"(Hess &lt;i&gt;et al.&lt;/i&gt;, 2007; Gibson &lt;i&gt;et al.&lt;/i&gt;, 2008)","plainTextFormattedCitation":"(Hess et al., 2007; Gibson et al., 2008)","previouslyFormattedCitation":"(Hess &lt;i&gt;et al.&lt;/i&gt;, 2007; Gibson &lt;i&gt;et al.&lt;/i&gt;, 2008)"},"properties":{"noteIndex":0},"schema":"https://github.com/citation-style-language/schema/raw/master/csl-citation.json"}</w:instrText>
      </w:r>
      <w:r w:rsidR="00DF4F27" w:rsidRPr="00DF4F27">
        <w:rPr>
          <w:i w:val="0"/>
          <w:iCs/>
        </w:rPr>
        <w:fldChar w:fldCharType="separate"/>
      </w:r>
      <w:r w:rsidR="00DF4F27" w:rsidRPr="00DF4F27">
        <w:rPr>
          <w:i w:val="0"/>
          <w:iCs/>
          <w:noProof/>
        </w:rPr>
        <w:t xml:space="preserve">(Hess </w:t>
      </w:r>
      <w:r w:rsidR="00DF4F27" w:rsidRPr="00DF4F27">
        <w:rPr>
          <w:iCs/>
          <w:noProof/>
        </w:rPr>
        <w:t>et al.</w:t>
      </w:r>
      <w:r w:rsidR="00DF4F27" w:rsidRPr="00DF4F27">
        <w:rPr>
          <w:i w:val="0"/>
          <w:iCs/>
          <w:noProof/>
        </w:rPr>
        <w:t xml:space="preserve">, 2007; Gibson </w:t>
      </w:r>
      <w:r w:rsidR="00DF4F27" w:rsidRPr="00DF4F27">
        <w:rPr>
          <w:iCs/>
          <w:noProof/>
        </w:rPr>
        <w:t>et al.</w:t>
      </w:r>
      <w:r w:rsidR="00DF4F27" w:rsidRPr="00DF4F27">
        <w:rPr>
          <w:i w:val="0"/>
          <w:iCs/>
          <w:noProof/>
        </w:rPr>
        <w:t>, 2008)</w:t>
      </w:r>
      <w:r w:rsidR="00DF4F27" w:rsidRPr="00DF4F27">
        <w:rPr>
          <w:i w:val="0"/>
          <w:iCs/>
        </w:rPr>
        <w:fldChar w:fldCharType="end"/>
      </w:r>
      <w:r w:rsidR="00DF4F27" w:rsidRPr="00DF4F27">
        <w:rPr>
          <w:i w:val="0"/>
          <w:iCs/>
        </w:rPr>
        <w:t xml:space="preserve">. </w:t>
      </w:r>
      <w:r w:rsidR="00307E2F" w:rsidRPr="00307E2F">
        <w:rPr>
          <w:i w:val="0"/>
          <w:iCs/>
        </w:rPr>
        <w:t>Therefore, it is reasonable to assume a direct linear relationship between the prevalence of zinc deficiency and the effect size (relative risk ratio) of zinc interventions. This assumption is based on evidence that zinc interventions tends to have significant impacts on population with low zinc serum concentration levels while have a limited impact on population with normal zinc status</w:t>
      </w:r>
      <w:r w:rsidR="00DF4F27" w:rsidRPr="00DF4F27">
        <w:rPr>
          <w:i w:val="0"/>
          <w:iCs/>
        </w:rPr>
        <w:t xml:space="preserve"> </w:t>
      </w:r>
      <w:r w:rsidR="00DF4F27" w:rsidRPr="00DF4F27">
        <w:rPr>
          <w:i w:val="0"/>
          <w:iCs/>
        </w:rPr>
        <w:fldChar w:fldCharType="begin" w:fldLock="1"/>
      </w:r>
      <w:r w:rsidR="00DF4F27">
        <w:rPr>
          <w:i w:val="0"/>
          <w:iCs/>
        </w:rPr>
        <w:instrText>ADDIN CSL_CITATION {"citationItems":[{"id":"ITEM-1","itemData":{"ISSN":"1475-2662","author":[{"dropping-particle":"","family":"Gibson","given":"Rosalind S","non-dropping-particle":"","parse-names":false,"suffix":""},{"dropping-particle":"","family":"Hess","given":"Sonja Y","non-dropping-particle":"","parse-names":false,"suffix":""},{"dropping-particle":"","family":"Hotz","given":"Christine","non-dropping-particle":"","parse-names":false,"suffix":""},{"dropping-particle":"","family":"Brown","given":"Kenneth H","non-dropping-particle":"","parse-names":false,"suffix":""}],"container-title":"British Journal of Nutrition","id":"ITEM-1","issue":"S3","issued":{"date-parts":[["2008"]]},"page":"S14-S23","publisher":"Cambridge University Press","title":"Indicators of zinc status at the population level: a review of the evidence","type":"article-journal","volume":"99"},"uris":["http://www.mendeley.com/documents/?uuid=c7ed3fbd-b9fe-4d3d-a0f9-21bf4af5fdb9"]},{"id":"ITEM-2","itemData":{"ISSN":"0379-5721","author":[{"dropping-particle":"","family":"Hess","given":"Sonja Y","non-dropping-particle":"","parse-names":false,"suffix":""},{"dropping-particle":"","family":"Peerson","given":"Janet M","non-dropping-particle":"","parse-names":false,"suffix":""},{"dropping-particle":"","family":"King","given":"Janet C","non-dropping-particle":"","parse-names":false,"suffix":""},{"dropping-particle":"","family":"Brown","given":"Kenneth H","non-dropping-particle":"","parse-names":false,"suffix":""}],"container-title":"Food and nutrition bulletin","id":"ITEM-2","issue":"3_suppl3","issued":{"date-parts":[["2007"]]},"page":"S403-S429","publisher":"SAGE Publications Sage CA: Los Angeles, CA","title":"Use of serum zinc concentration as an indicator of population zinc status","type":"article-journal","volume":"28"},"uris":["http://www.mendeley.com/documents/?uuid=f9ff3341-531a-4ce1-adf5-0b30dacb95d0"]}],"mendeley":{"formattedCitation":"(Hess &lt;i&gt;et al.&lt;/i&gt;, 2007; Gibson &lt;i&gt;et al.&lt;/i&gt;, 2008)","plainTextFormattedCitation":"(Hess et al., 2007; Gibson et al., 2008)","previouslyFormattedCitation":"(Hess &lt;i&gt;et al.&lt;/i&gt;, 2007; Gibson &lt;i&gt;et al.&lt;/i&gt;, 2008)"},"properties":{"noteIndex":0},"schema":"https://github.com/citation-style-language/schema/raw/master/csl-citation.json"}</w:instrText>
      </w:r>
      <w:r w:rsidR="00DF4F27" w:rsidRPr="00DF4F27">
        <w:rPr>
          <w:i w:val="0"/>
          <w:iCs/>
        </w:rPr>
        <w:fldChar w:fldCharType="separate"/>
      </w:r>
      <w:r w:rsidR="00DF4F27" w:rsidRPr="00DF4F27">
        <w:rPr>
          <w:i w:val="0"/>
          <w:iCs/>
          <w:noProof/>
        </w:rPr>
        <w:t xml:space="preserve">(Hess </w:t>
      </w:r>
      <w:r w:rsidR="00DF4F27" w:rsidRPr="00DF4F27">
        <w:rPr>
          <w:iCs/>
          <w:noProof/>
        </w:rPr>
        <w:t>et al.</w:t>
      </w:r>
      <w:r w:rsidR="00DF4F27" w:rsidRPr="00DF4F27">
        <w:rPr>
          <w:i w:val="0"/>
          <w:iCs/>
          <w:noProof/>
        </w:rPr>
        <w:t xml:space="preserve">, 2007; Gibson </w:t>
      </w:r>
      <w:r w:rsidR="00DF4F27" w:rsidRPr="00DF4F27">
        <w:rPr>
          <w:iCs/>
          <w:noProof/>
        </w:rPr>
        <w:t>et al.</w:t>
      </w:r>
      <w:r w:rsidR="00DF4F27" w:rsidRPr="00DF4F27">
        <w:rPr>
          <w:i w:val="0"/>
          <w:iCs/>
          <w:noProof/>
        </w:rPr>
        <w:t>, 2008)</w:t>
      </w:r>
      <w:r w:rsidR="00DF4F27" w:rsidRPr="00DF4F27">
        <w:rPr>
          <w:i w:val="0"/>
          <w:iCs/>
        </w:rPr>
        <w:fldChar w:fldCharType="end"/>
      </w:r>
      <w:r w:rsidR="00DF4F27" w:rsidRPr="00DF4F27">
        <w:rPr>
          <w:i w:val="0"/>
          <w:iCs/>
        </w:rPr>
        <w:t xml:space="preserve">. As the prevalence of zinc deficiency in Chinese children was estimated to be around 27% </w:t>
      </w:r>
      <w:r w:rsidR="00DF4F27">
        <w:rPr>
          <w:i w:val="0"/>
          <w:iCs/>
        </w:rPr>
        <w:fldChar w:fldCharType="begin" w:fldLock="1"/>
      </w:r>
      <w:r w:rsidR="00DF4F27">
        <w:rPr>
          <w:i w:val="0"/>
          <w:iCs/>
        </w:rPr>
        <w:instrText>ADDIN CSL_CITATION {"citationItems":[{"id":"ITEM-1","itemData":{"ISSN":"2380-0658","author":[{"dropping-particle":"","family":"Cai-Jin","given":"Y","non-dropping-particle":"","parse-names":false,"suffix":""},{"dropping-particle":"","family":"Jing-Ying","given":"S","non-dropping-particle":"","parse-names":false,"suffix":""},{"dropping-particle":"","family":"Gang-Xi","given":"L","non-dropping-particle":"","parse-names":false,"suffix":""}],"container-title":"J Fam Med","id":"ITEM-1","issue":"5","issued":{"date-parts":[["2021"]]},"page":"1257","title":"Meta-analysis of zinc deficiency and its influence factors in children under 14-year-old in china","type":"article-journal","volume":"8"},"uris":["http://www.mendeley.com/documents/?uuid=0c21e5c9-c255-491d-9340-3ea57040a7b3"]}],"mendeley":{"formattedCitation":"(Cai-Jin, Jing-Ying and Gang-Xi, 2021)","plainTextFormattedCitation":"(Cai-Jin, Jing-Ying and Gang-Xi, 2021)","previouslyFormattedCitation":"(Cai-Jin, Jing-Ying and Gang-Xi, 2021)"},"properties":{"noteIndex":0},"schema":"https://github.com/citation-style-language/schema/raw/master/csl-citation.json"}</w:instrText>
      </w:r>
      <w:r w:rsidR="00DF4F27">
        <w:rPr>
          <w:i w:val="0"/>
          <w:iCs/>
        </w:rPr>
        <w:fldChar w:fldCharType="separate"/>
      </w:r>
      <w:r w:rsidR="00DF4F27" w:rsidRPr="00DF4F27">
        <w:rPr>
          <w:i w:val="0"/>
          <w:iCs/>
          <w:noProof/>
        </w:rPr>
        <w:t>(Cai-Jin, Jing-Ying and Gang-Xi, 2021)</w:t>
      </w:r>
      <w:r w:rsidR="00DF4F27">
        <w:rPr>
          <w:i w:val="0"/>
          <w:iCs/>
        </w:rPr>
        <w:fldChar w:fldCharType="end"/>
      </w:r>
      <w:r w:rsidR="00DF4F27" w:rsidRPr="00DF4F27">
        <w:rPr>
          <w:i w:val="0"/>
          <w:iCs/>
        </w:rPr>
        <w:t xml:space="preserve"> and 85.8% in Indian children in RCT</w:t>
      </w:r>
      <w:r w:rsidR="00DF4F27">
        <w:rPr>
          <w:i w:val="0"/>
          <w:iCs/>
        </w:rPr>
        <w:fldChar w:fldCharType="begin" w:fldLock="1"/>
      </w:r>
      <w:r w:rsidR="00DF4F27">
        <w:rPr>
          <w:i w:val="0"/>
          <w:iCs/>
        </w:rPr>
        <w:instrText xml:space="preserve">ADDIN CSL_CITATION {"citationItems":[{"id":"ITEM-1","itemData":{"DOI":"10.1186/s12937-018-0391-5","ISSN":"14752891","PMID":"30219062","abstract":"Background: Biofortification of staple food crops with zinc (Zn) can be one of the cost-effective and sustainable strategies to combat zinc deficiency and prevent morbidity among the target population. Agronomic approaches such as application of Zn fertilizers to soil and/or foliar spray seem to be a practical tool for Zn biofortification of wheat. However, there is a need to evaluate its efficacy from randomized controlled trials. This study aimed to evaluate the efficacy of zinc biofortified wheat flour on zinc status and its impact on morbidity among children aged 4-6 years and non-pregnant non lactating woman of child bearing age (WCBA) in Delhi, India. Methods: In a community based, double-masked randomized controlled trial, 6005 participants (WCBA and child pairs) were enrolled and randomly allocated to receive either high zinc biofortified wheat flour (HZn, 30 ppm zinc daily) or low zinc biofortified wheat flour (LZn, 20 ppm zinc daily) for 6 months (WCBA @ 360 g/day and children @ 120 g/day). Baseline and endline blood samples were obtained for assessing hematological markers; zinc status and data on compliance and morbidity were collected. Results: Compliance rates were high; </w:instrText>
      </w:r>
      <w:r w:rsidR="00DF4F27">
        <w:rPr>
          <w:rFonts w:ascii="Cambria Math" w:hAnsi="Cambria Math" w:cs="Cambria Math"/>
          <w:i w:val="0"/>
          <w:iCs/>
        </w:rPr>
        <w:instrText>∼</w:instrText>
      </w:r>
      <w:r w:rsidR="00DF4F27">
        <w:rPr>
          <w:i w:val="0"/>
          <w:iCs/>
        </w:rPr>
        <w:instrText xml:space="preserve"> 88% of the WCBAs in both the groups consumed 50% or more of recommended amount of biofortfied wheat flour during the follow up. Similarly 86.9% children in HZn and 87.5% in LZn consumed 50% or more of recommended wheat flour intake. There was no significant difference in mean zinc levels between the groups at end study. This observation might be due to a marginal difference in zinc content (10 ppm) between the HZn and LZn wheat flour, and a short intervention period. However a positive impact of bio-fortification on self-reported morbidity was observed. Compared to children in LZn group, children in HZn group had 17% (95% CI: 6 to 31%, p = 0.05) and 40% (95% CI: 16 to 57%; p = 0.0019) reduction in days with pneumonia and vomiting respectively. WCBA in the HZn group also showed a statistically significant 9% fewer days with fever compared to LZn group. Conclusions: Biofortified wheat flour had a good compliance among children and WCBAs. Significant improvement on some of the self-reported morbidity indicators suggests that evaluating longer-term effects of biofortification with higher grain zinc content would be more appropriate. Trial registration: http://ctri.nic.in/Clinicaltrials/, CTRI/2014/04/004527, Registered April 7, 2014.","author":[{"dropping-particle":"","family":"Sazawal","given":"Sunil","non-dropping-particle":"","parse-names":false,"suffix":""},{"dropping-particle":"","family":"Dhingra","given":"Usha","non-dropping-particle":"","parse-names":false,"suffix":""},{"dropping-particle":"","family":"Dhingra","given":"Pratibha","non-dropping-particle":"","parse-names":false,"suffix":""},{"dropping-particle":"","family":"Dutta","given":"Arup","non-dropping-particle":"","parse-names":false,"suffix":""},{"dropping-particle":"","family":"Deb","given":"Saikat","non-dropping-particle":"","parse-names":false,"suffix":""},{"dropping-particle":"","family":"Kumar","given":"Jitendra","non-dropping-particle":"","parse-names":false,"suffix":""},{"dropping-particle":"","family":"Devi","given":"Prabhabati","non-dropping-particle":"","parse-names":false,"suffix":""},{"dropping-particle":"","family":"Prakash","given":"Ashish","non-dropping-particle":"","parse-names":false,"suffix":""}],"container-title":"Nutrition Journal","id":"ITEM-1","issued":{"date-parts":[["2018"]]},"page":"86","publisher":"Nutrition Journal","title":"Efficacy of high zinc biofortified wheat in improvement of micronutrient status, and prevention of morbidity among preschool children and women - A double masked, randomized, controlled trial 11 Medical and Health Sciences 1117 Public Health and Health Se","type":"article-journal","volume":"17"},"uris":["http://www.mendeley.com/documents/?uuid=8921160c-7053-433e-9715-bab689dbb674"]}],"mendeley":{"formattedCitation":"(Sazawal &lt;i&gt;et al.&lt;/i&gt;, 2018)","plainTextFormattedCitation":"(Sazawal et al., 2018)","previouslyFormattedCitation":"(Sazawal &lt;i&gt;et al.&lt;/i&gt;, 2018)"},"properties":{"noteIndex":0},"schema":"https://github.com/citation-style-language/schema/raw/master/csl-citation.json"}</w:instrText>
      </w:r>
      <w:r w:rsidR="00DF4F27">
        <w:rPr>
          <w:i w:val="0"/>
          <w:iCs/>
        </w:rPr>
        <w:fldChar w:fldCharType="separate"/>
      </w:r>
      <w:r w:rsidR="00DF4F27" w:rsidRPr="00DF4F27">
        <w:rPr>
          <w:i w:val="0"/>
          <w:iCs/>
          <w:noProof/>
        </w:rPr>
        <w:t xml:space="preserve">(Sazawal </w:t>
      </w:r>
      <w:r w:rsidR="00DF4F27" w:rsidRPr="00DF4F27">
        <w:rPr>
          <w:iCs/>
          <w:noProof/>
        </w:rPr>
        <w:t>et al.</w:t>
      </w:r>
      <w:r w:rsidR="00DF4F27" w:rsidRPr="00DF4F27">
        <w:rPr>
          <w:i w:val="0"/>
          <w:iCs/>
          <w:noProof/>
        </w:rPr>
        <w:t>, 2018)</w:t>
      </w:r>
      <w:r w:rsidR="00DF4F27">
        <w:rPr>
          <w:i w:val="0"/>
          <w:iCs/>
        </w:rPr>
        <w:fldChar w:fldCharType="end"/>
      </w:r>
      <w:r w:rsidR="00DF4F27" w:rsidRPr="00DF4F27">
        <w:rPr>
          <w:i w:val="0"/>
          <w:iCs/>
        </w:rPr>
        <w:t>, the RR of consuming biofortified wheat to pneumonia in Chinese children was adjusted to 0.95(95%CI: 0.91 to 0.98, p=0.05</w:t>
      </w:r>
      <w:r w:rsidR="00DF4F27" w:rsidRPr="00DF4F27">
        <w:rPr>
          <w:rFonts w:hint="eastAsia"/>
          <w:i w:val="0"/>
          <w:iCs/>
        </w:rPr>
        <w:t>)</w:t>
      </w:r>
      <w:r w:rsidR="00DF4F27" w:rsidRPr="00DF4F27">
        <w:rPr>
          <w:i w:val="0"/>
          <w:iCs/>
        </w:rPr>
        <w:t xml:space="preserve"> by </w:t>
      </w:r>
      <w:bookmarkStart w:id="11" w:name="_Hlk136886066"/>
      <w:r w:rsidR="00DF4F27" w:rsidRPr="00DF4F27">
        <w:rPr>
          <w:i w:val="0"/>
          <w:iCs/>
        </w:rPr>
        <w:t>using the Bayesian method with an adaptive Metropolis–Hastings (MH) algorithm</w:t>
      </w:r>
      <w:bookmarkEnd w:id="11"/>
      <w:r w:rsidR="00DF4F27" w:rsidRPr="00DF4F27">
        <w:rPr>
          <w:i w:val="0"/>
          <w:iCs/>
        </w:rPr>
        <w:t>. We illustrate the process of extrapolation in Appendix C. While this method can be helpful in providing analysis and support for decision-making, it is crucial to discuss the limitations of the results drawn from the assumptions underlying this approach</w:t>
      </w:r>
      <w:r w:rsidR="00DF4F27">
        <w:rPr>
          <w:i w:val="0"/>
          <w:iCs/>
        </w:rPr>
        <w:fldChar w:fldCharType="begin" w:fldLock="1"/>
      </w:r>
      <w:r w:rsidR="00DF4F27">
        <w:rPr>
          <w:i w:val="0"/>
          <w:iCs/>
        </w:rPr>
        <w:instrText>ADDIN CSL_CITATION {"citationItems":[{"id":"ITEM-1","itemData":{"ISSN":"0009-9236","author":[{"dropping-particle":"V","family":"Wang","given":"Shirley","non-dropping-particle":"","parse-names":false,"suffix":""},{"dropping-particle":"","family":"Schneeweiss","given":"Sebastian","non-dropping-particle":"","parse-names":false,"suffix":""},{"dropping-particle":"","family":"Gagne","given":"Joshua J","non-dropping-particle":"","parse-names":false,"suffix":""},{"dropping-particle":"","family":"Evers","given":"Thomas","non-dropping-particle":"","parse-names":false,"suffix":""},{"dropping-particle":"","family":"Gerlinger","given":"Christoph","non-dropping-particle":"","parse-names":false,"suffix":""},{"dropping-particle":"","family":"Desai","given":"Rishi","non-dropping-particle":"","parse-names":false,"suffix":""},{"dropping-particle":"","family":"Najafzadeh","given":"Mehdi","non-dropping-particle":"","parse-names":false,"suffix":""}],"container-title":"Clinical Pharmacology &amp; Therapeutics","id":"ITEM-1","issue"</w:instrText>
      </w:r>
      <w:r w:rsidR="00DF4F27">
        <w:rPr>
          <w:rFonts w:hint="eastAsia"/>
          <w:i w:val="0"/>
          <w:iCs/>
        </w:rPr>
        <w:instrText>:"5","issued":{"date-parts":[["2019"]]},"page":"1156-1163","publisher":"Wiley Online Library","title":"Using real</w:instrText>
      </w:r>
      <w:r w:rsidR="00DF4F27">
        <w:rPr>
          <w:rFonts w:hint="eastAsia"/>
          <w:i w:val="0"/>
          <w:iCs/>
        </w:rPr>
        <w:instrText>‐</w:instrText>
      </w:r>
      <w:r w:rsidR="00DF4F27">
        <w:rPr>
          <w:rFonts w:hint="eastAsia"/>
          <w:i w:val="0"/>
          <w:iCs/>
        </w:rPr>
        <w:instrText>world data to extrapolate evidence from randomized controlled trials","type":"article-journal","volume":"105"},"uris":["http://www.mendeley.c</w:instrText>
      </w:r>
      <w:r w:rsidR="00DF4F27">
        <w:rPr>
          <w:i w:val="0"/>
          <w:iCs/>
        </w:rPr>
        <w:instrText>om/documents/?uuid=36fa8f35-64bd-4914-b165-82a1bbf9d99c"]}],"mendeley":{"formattedCitation":"(Wang &lt;i&gt;et al.&lt;/i&gt;, 2019)","plainTextFormattedCitation":"(Wang et al., 2019)","previouslyFormattedCitation":"(Wang &lt;i&gt;et al.&lt;/i&gt;, 2019)"},"properties":{"noteIndex":0},"schema":"https://github.com/citation-style-language/schema/raw/master/csl-citation.json"}</w:instrText>
      </w:r>
      <w:r w:rsidR="00DF4F27">
        <w:rPr>
          <w:i w:val="0"/>
          <w:iCs/>
        </w:rPr>
        <w:fldChar w:fldCharType="separate"/>
      </w:r>
      <w:r w:rsidR="00DF4F27" w:rsidRPr="00DF4F27">
        <w:rPr>
          <w:i w:val="0"/>
          <w:iCs/>
          <w:noProof/>
        </w:rPr>
        <w:t xml:space="preserve">(Wang </w:t>
      </w:r>
      <w:r w:rsidR="00DF4F27" w:rsidRPr="00DF4F27">
        <w:rPr>
          <w:iCs/>
          <w:noProof/>
        </w:rPr>
        <w:t>et al.</w:t>
      </w:r>
      <w:r w:rsidR="00DF4F27" w:rsidRPr="00DF4F27">
        <w:rPr>
          <w:i w:val="0"/>
          <w:iCs/>
          <w:noProof/>
        </w:rPr>
        <w:t>, 2019)</w:t>
      </w:r>
      <w:r w:rsidR="00DF4F27">
        <w:rPr>
          <w:i w:val="0"/>
          <w:iCs/>
        </w:rPr>
        <w:fldChar w:fldCharType="end"/>
      </w:r>
      <w:r w:rsidR="00DF4F27" w:rsidRPr="00DF4F27">
        <w:rPr>
          <w:i w:val="0"/>
          <w:iCs/>
        </w:rPr>
        <w:t>, which we have specified in the discussion section</w:t>
      </w:r>
      <w:r w:rsidR="00DF4F27">
        <w:rPr>
          <w:i w:val="0"/>
          <w:iCs/>
        </w:rPr>
        <w:t>.</w:t>
      </w:r>
    </w:p>
    <w:p w14:paraId="21A5D369" w14:textId="77777777" w:rsidR="0065057A" w:rsidRPr="0065057A" w:rsidRDefault="0065057A" w:rsidP="0065057A">
      <w:pPr>
        <w:ind w:firstLine="480"/>
        <w:rPr>
          <w:rFonts w:eastAsiaTheme="minorEastAsia"/>
        </w:rPr>
      </w:pPr>
    </w:p>
    <w:p w14:paraId="3F143131" w14:textId="77777777" w:rsidR="0065057A" w:rsidRDefault="0065057A" w:rsidP="0065057A">
      <w:pPr>
        <w:pStyle w:val="Subtitle"/>
        <w:ind w:firstLine="480"/>
        <w:rPr>
          <w:i w:val="0"/>
        </w:rPr>
      </w:pPr>
      <w:r>
        <w:t xml:space="preserve">Epidemiology data </w:t>
      </w:r>
    </w:p>
    <w:p w14:paraId="04B0005E" w14:textId="77777777" w:rsidR="0065057A" w:rsidRDefault="0065057A" w:rsidP="0065057A">
      <w:pPr>
        <w:ind w:firstLineChars="100" w:firstLine="240"/>
        <w:rPr>
          <w:rFonts w:cs="Times New Roman"/>
          <w:szCs w:val="24"/>
        </w:rPr>
      </w:pPr>
      <w:r>
        <w:rPr>
          <w:rFonts w:cs="Times New Roman"/>
          <w:szCs w:val="24"/>
        </w:rPr>
        <w:t xml:space="preserve">The prevalence of pneumonia among children aged 5-14 in China was estimated to be 12.6% </w:t>
      </w:r>
      <w:r>
        <w:rPr>
          <w:rFonts w:cs="Times New Roman"/>
          <w:szCs w:val="24"/>
        </w:rPr>
        <w:fldChar w:fldCharType="begin" w:fldLock="1"/>
      </w:r>
      <w:r>
        <w:rPr>
          <w:rFonts w:cs="Times New Roman"/>
          <w:szCs w:val="24"/>
        </w:rPr>
        <w:instrText>ADDIN CSL_CITATION {"citationItems":[{"id":"ITEM-1","itemData":{"ISSN":"0264-410X","author":[{"dropping-particle":"","family":"Sun","given":"Yixin","non-dropping-particle":"","parse-names":false,"suffix":""},{"dropping-particle":"","family":"Li","given":"Hui","non-dropping-particle":"","parse-names":false,"suffix":""},{"dropping-particle":"","family":"Pei","given":"Zhengcun","non-dropping-particle":"","parse-names":false,"suffix":""},{"dropping-particle":"","family":"Wang","given":"Shengfeng","non-dropping-particle":"","parse-names":false,"suffix":""},{"dropping-particle":"","family":"Feng","given":"Jingnan","non-dropping-particle":"","parse-names":false,"suffix":""},{"dropping-particle":"","family":"Xu","given":"Lu","non-dropping-particle":"","parse-names":false,"suffix":""},{"dropping-particle":"","family":"Gao","given":"Pei","non-dropping-particle":"","parse-names":false,"suffix":""},{"dropping-particle":"","family":"Cao","given":"Bin","non-dropping-particle":"","parse-names":false,"suffix":""},{"dropping-particle":"","family":"Zhan","given":"Siyan","non-dropping-particle":"","parse-names":false,"suffix":""}],"container-title":"Vaccine","id":"ITEM-1","issue":"52","issued":{"date-parts":[["2020"]]},"page":"8362-8370","publisher":"Elsevier","title":"Incidence of community-acquired pneumonia in urban China: a national population-based study","type":"article-journal","volume":"38"},"uris":["http://www.mendeley.com/documents/?uuid=1d5634b9-062b-4e42-9b5a-94f21b4d2369"]}],"mendeley":{"formattedCitation":"(Sun &lt;i&gt;et al.&lt;/i&gt;, 2020)","plainTextFormattedCitation":"(Sun et al., 2020)","previouslyFormattedCitation":"(Sun &lt;i&gt;et al.&lt;/i&gt;, 2020)"},"properties":{"noteIndex":0},"schema":"https://github.com/citation-style-language/schema/raw/master/csl-citation.json"}</w:instrText>
      </w:r>
      <w:r>
        <w:rPr>
          <w:rFonts w:cs="Times New Roman"/>
          <w:szCs w:val="24"/>
        </w:rPr>
        <w:fldChar w:fldCharType="separate"/>
      </w:r>
      <w:r w:rsidRPr="00F417F3">
        <w:rPr>
          <w:rFonts w:cs="Times New Roman"/>
          <w:noProof/>
          <w:szCs w:val="24"/>
        </w:rPr>
        <w:t xml:space="preserve">(Sun </w:t>
      </w:r>
      <w:r w:rsidRPr="00F417F3">
        <w:rPr>
          <w:rFonts w:cs="Times New Roman"/>
          <w:i/>
          <w:noProof/>
          <w:szCs w:val="24"/>
        </w:rPr>
        <w:t>et al.</w:t>
      </w:r>
      <w:r w:rsidRPr="00F417F3">
        <w:rPr>
          <w:rFonts w:cs="Times New Roman"/>
          <w:noProof/>
          <w:szCs w:val="24"/>
        </w:rPr>
        <w:t>, 2020)</w:t>
      </w:r>
      <w:r>
        <w:rPr>
          <w:rFonts w:cs="Times New Roman"/>
          <w:szCs w:val="24"/>
        </w:rPr>
        <w:fldChar w:fldCharType="end"/>
      </w:r>
      <w:r>
        <w:rPr>
          <w:rFonts w:cs="Times New Roman"/>
          <w:szCs w:val="24"/>
        </w:rPr>
        <w:t xml:space="preserve">. </w:t>
      </w:r>
      <w:r w:rsidRPr="00393AB4">
        <w:rPr>
          <w:rFonts w:cs="Times New Roman"/>
          <w:szCs w:val="24"/>
        </w:rPr>
        <w:t xml:space="preserve">When zinc interventions </w:t>
      </w:r>
      <w:r>
        <w:rPr>
          <w:rFonts w:cs="Times New Roman"/>
          <w:szCs w:val="24"/>
        </w:rPr>
        <w:t>were</w:t>
      </w:r>
      <w:r w:rsidRPr="00393AB4">
        <w:rPr>
          <w:rFonts w:cs="Times New Roman"/>
          <w:szCs w:val="24"/>
        </w:rPr>
        <w:t xml:space="preserve"> </w:t>
      </w:r>
      <w:r>
        <w:rPr>
          <w:rFonts w:cs="Times New Roman"/>
          <w:szCs w:val="24"/>
        </w:rPr>
        <w:t>implemented</w:t>
      </w:r>
      <w:r w:rsidRPr="00393AB4">
        <w:rPr>
          <w:rFonts w:cs="Times New Roman"/>
          <w:szCs w:val="24"/>
        </w:rPr>
        <w:t xml:space="preserve">, </w:t>
      </w:r>
      <w:r>
        <w:rPr>
          <w:rFonts w:cs="Times New Roman"/>
          <w:szCs w:val="24"/>
        </w:rPr>
        <w:t xml:space="preserve">the probability of persistent IDA under different interventions was calculated based on the prevalence of IDA and the likelihood of excessive zinc intake. </w:t>
      </w:r>
      <w:bookmarkStart w:id="12" w:name="_Hlk134400557"/>
      <w:r w:rsidRPr="0065057A">
        <w:rPr>
          <w:rFonts w:cs="Times New Roman"/>
          <w:szCs w:val="24"/>
        </w:rPr>
        <w:t xml:space="preserve">Following the aforementioned rationale, we assumed a linear relationship between the prevalence of excessive zinc intake and RR value to extrapolate the data from other countries to our target population using the Bayesian method with an adaptive Metropolis–Hastings (MH) algorithm. The RR of excessive zinc intake in groups consuming supplements or (bio)fortified foods is estimated to be 1.15(95%CI: 1.12 to 1.19, p=0.05) and 1.14 (95%CI: 1.11 to 1.18, </w:t>
      </w:r>
      <w:r w:rsidRPr="0065057A">
        <w:rPr>
          <w:rFonts w:cs="Times New Roman"/>
          <w:szCs w:val="24"/>
        </w:rPr>
        <w:lastRenderedPageBreak/>
        <w:t>p=0.05) respectively, adjusted from studies undertaken in the United States as presented in Table 1</w:t>
      </w:r>
      <w:r>
        <w:rPr>
          <w:rFonts w:cs="Times New Roman"/>
          <w:szCs w:val="24"/>
        </w:rPr>
        <w:fldChar w:fldCharType="begin" w:fldLock="1"/>
      </w:r>
      <w:r>
        <w:rPr>
          <w:rFonts w:cs="Times New Roman"/>
          <w:szCs w:val="24"/>
        </w:rPr>
        <w:instrText>ADDIN CSL_CITATION {"citationItems":[{"id":"ITEM-1","itemData":{"ISSN":"0002-9165","author":[{"dropping-particle":"","family":"Arsenault","given":"Joanne E","non-dropping-particle":"","parse-names":false,"suffix":""},{"dropping-particle":"","family":"Brown","given":"Kenneth H","non-dropping-particle":"","parse-names":false,"suffix":""}],"container-title":"The American journal of clinical nutrition","id":"ITEM-1","issue":"5","issued":{"date-parts":[["2003"]]},"page":"1011-1017","publisher":"Oxford University Press","title":"Zinc intake of US preschool children exceeds new dietary reference intakes","type":"article-journal","volume":"78"},"uris":["http://www.mendeley.com/documents/?uuid=fbb98616-b49e-4db1-8334-52a9a123dd1e"]},{"id":"ITEM-2","itemData":{"ISSN":"1476-5640","author":[{"dropping-particle":"","family":"Sacco","given":"Jocelyn E","non-dropping-particle":"","parse-names":false,"suffix":""},{"dropping-particle":"","family":"Dodd","given":"Kevin W","non-dropping-particle":"","parse-names":false,"suffix":""},{"dropping-particle":"","family":"Kirkpatrick","given":"Sharon I","non-dropping-particle":"","parse-names":false,"suffix":""},{"dropping-particle":"","family":"Tarasuk","given":"Valerie","non-dropping-particle":"","parse-names":false,"suffix":""}],"container-title":"European journal of clinical nutrition","id":"ITEM-2","issue":"6","issued":{"date-parts":[["2013"]]},"page":"592-597","publisher":"Nature Publishing Group","title":"Voluntary food fortification in the United States: potential for excessive intakes","type":"article-journal","volume":"67"},"uris":["http://www.mendeley.com/documents/?uuid=d4cff050-00e3-4ea1-924a-bee7129f742c"]},{"id":"ITEM-3","itemData":{"ISSN":"0731-5724","author":[{"dropping-particle":"","family":"Wallace","given":"Taylor C","non-dropping-particle":"","parse-names":false,"suffix":""},{"dropping-particle":"","family":"McBurney","given":"Michael","non-dropping-particle":"","parse-names":false,"suffix":""},{"dropping-particle":"","family":"Fulgoni III","given":"Victor L","non-dropping-particle":"","parse-names":false,"suffix":""}],"container-title":"Journal of the American College of Nutrition","id":"ITEM-3","issue":"2","issued":{"date-parts":[["2014"]]},"page":"94-102","publisher":"Taylor &amp; Francis","title":"Multivitamin/mineral supplement contribution to micronutrient intakes in the United States, 2007–2010","type":"article-journal","volume":"33"},"uris":["http://www.mendeley.com/documents/?uuid=3d50b6ed-a09c-4699-9c1f-33720cb44db2"]}],"mendeley":{"formattedCitation":"(Arsenault and Brown, 2003; Sacco &lt;i&gt;et al.&lt;/i&gt;, 2013; Wallace, McBurney and Fulgoni III, 2014)","manualFormatting":"(Arsenault and Brown, 2003; Sacco et al., 2013; Wallace et al., 2014)","plainTextFormattedCitation":"(Arsenault and Brown, 2003; Sacco et al., 2013; Wallace, McBurney and Fulgoni III, 2014)","previouslyFormattedCitation":"(Arsenault and Brown, 2003; Sacco &lt;i&gt;et al.&lt;/i&gt;, 2013; Wallace, McBurney and Fulgoni III, 2014)"},"properties":{"noteIndex":0},"schema":"https://github.com/citation-style-language/schema/raw/master/csl-citation.json"}</w:instrText>
      </w:r>
      <w:r>
        <w:rPr>
          <w:rFonts w:cs="Times New Roman"/>
          <w:szCs w:val="24"/>
        </w:rPr>
        <w:fldChar w:fldCharType="separate"/>
      </w:r>
      <w:r w:rsidRPr="00126725">
        <w:rPr>
          <w:rFonts w:cs="Times New Roman"/>
          <w:noProof/>
          <w:szCs w:val="24"/>
        </w:rPr>
        <w:t xml:space="preserve">(Arsenault and Brown, 2003; Sacco </w:t>
      </w:r>
      <w:r w:rsidRPr="00126725">
        <w:rPr>
          <w:rFonts w:cs="Times New Roman"/>
          <w:i/>
          <w:noProof/>
          <w:szCs w:val="24"/>
        </w:rPr>
        <w:t>et al.</w:t>
      </w:r>
      <w:r w:rsidRPr="00126725">
        <w:rPr>
          <w:rFonts w:cs="Times New Roman"/>
          <w:noProof/>
          <w:szCs w:val="24"/>
        </w:rPr>
        <w:t>, 2013; Wallace</w:t>
      </w:r>
      <w:r>
        <w:rPr>
          <w:rFonts w:cs="Times New Roman"/>
          <w:noProof/>
          <w:szCs w:val="24"/>
        </w:rPr>
        <w:t xml:space="preserve"> </w:t>
      </w:r>
      <w:r w:rsidRPr="00383665">
        <w:rPr>
          <w:rFonts w:cs="Times New Roman"/>
          <w:i/>
          <w:iCs/>
          <w:noProof/>
          <w:szCs w:val="24"/>
        </w:rPr>
        <w:t>et al.</w:t>
      </w:r>
      <w:r w:rsidRPr="00126725">
        <w:rPr>
          <w:rFonts w:cs="Times New Roman"/>
          <w:noProof/>
          <w:szCs w:val="24"/>
        </w:rPr>
        <w:t>, 2014)</w:t>
      </w:r>
      <w:r>
        <w:rPr>
          <w:rFonts w:cs="Times New Roman"/>
          <w:szCs w:val="24"/>
        </w:rPr>
        <w:fldChar w:fldCharType="end"/>
      </w:r>
      <w:r>
        <w:rPr>
          <w:rFonts w:cs="Times New Roman"/>
          <w:szCs w:val="24"/>
        </w:rPr>
        <w:t>.</w:t>
      </w:r>
      <w:r w:rsidRPr="0065057A">
        <w:rPr>
          <w:rFonts w:cs="Times New Roman"/>
          <w:szCs w:val="24"/>
        </w:rPr>
        <w:t xml:space="preserve"> The process of extrapolation is illustrated in detail in Appendix C.</w:t>
      </w:r>
      <w:r>
        <w:rPr>
          <w:rFonts w:cs="Times New Roman"/>
          <w:szCs w:val="24"/>
        </w:rPr>
        <w:t xml:space="preserve"> </w:t>
      </w:r>
      <w:bookmarkEnd w:id="12"/>
      <w:r>
        <w:rPr>
          <w:rFonts w:cs="Times New Roman"/>
          <w:szCs w:val="24"/>
        </w:rPr>
        <w:t xml:space="preserve">Based on the zinc intake distribution among Chinese children </w:t>
      </w:r>
      <w:r>
        <w:rPr>
          <w:rFonts w:cs="Times New Roman"/>
          <w:szCs w:val="24"/>
        </w:rPr>
        <w:fldChar w:fldCharType="begin" w:fldLock="1"/>
      </w:r>
      <w:r>
        <w:rPr>
          <w:rFonts w:cs="Times New Roman"/>
          <w:szCs w:val="24"/>
        </w:rPr>
        <w:instrText>ADDIN CSL_CITATION {"citationItems":[{"id":"ITEM-1","itemData":{"author":[{"dropping-particle":"","family":"Yan","given":"Caijin","non-dropping-particle":"","parse-names":false,"suffix":""}],"id":"ITEM-1","issued":{"date-parts":[["2021"]]},"publisher":"Fujian Medical University","title":"Meta-Analysis of Zinc Deficiency Status and its Influence Factors among Children in Mainland China in the past 15 years","type":"thesis"},"uris":["http://www.mendeley.com/documents/?uuid=b918208f-130f-4410-8dca-8d26f8867660"]}],"mendeley":{"formattedCitation":"(Yan, 2021)","plainTextFormattedCitation":"(Yan, 2021)","previouslyFormattedCitation":"(Yan, 2021)"},"properties":{"noteIndex":0},"schema":"https://github.com/citation-style-language/schema/raw/master/csl-citation.json"}</w:instrText>
      </w:r>
      <w:r>
        <w:rPr>
          <w:rFonts w:cs="Times New Roman"/>
          <w:szCs w:val="24"/>
        </w:rPr>
        <w:fldChar w:fldCharType="separate"/>
      </w:r>
      <w:r w:rsidRPr="00F417F3">
        <w:rPr>
          <w:rFonts w:cs="Times New Roman"/>
          <w:noProof/>
          <w:szCs w:val="24"/>
        </w:rPr>
        <w:t>(Yan, 2021)</w:t>
      </w:r>
      <w:r>
        <w:rPr>
          <w:rFonts w:cs="Times New Roman"/>
          <w:szCs w:val="24"/>
        </w:rPr>
        <w:fldChar w:fldCharType="end"/>
      </w:r>
      <w:r>
        <w:rPr>
          <w:rFonts w:cs="Times New Roman"/>
          <w:szCs w:val="24"/>
        </w:rPr>
        <w:t>, the risk of surpassing the upper limit is expected to be relatively low (1% on average). From a conservative point of view, it is assumed that with the compliance of the intervention, 100% of the children who suffer from IDA and zinc overdose simultaneously would have persistent IDA</w:t>
      </w:r>
      <w:r w:rsidRPr="003B1EB0">
        <w:rPr>
          <w:rStyle w:val="FootnoteReference"/>
        </w:rPr>
        <w:footnoteReference w:id="2"/>
      </w:r>
      <w:r>
        <w:rPr>
          <w:rFonts w:cs="Times New Roman"/>
          <w:szCs w:val="24"/>
        </w:rPr>
        <w:t>.</w:t>
      </w:r>
    </w:p>
    <w:p w14:paraId="6F0AC846" w14:textId="77777777" w:rsidR="0065057A" w:rsidRDefault="0065057A" w:rsidP="0065057A">
      <w:pPr>
        <w:ind w:firstLineChars="100" w:firstLine="240"/>
        <w:rPr>
          <w:rFonts w:cs="Times New Roman"/>
          <w:szCs w:val="24"/>
        </w:rPr>
      </w:pPr>
      <w:r>
        <w:rPr>
          <w:rFonts w:cs="Times New Roman"/>
          <w:szCs w:val="24"/>
        </w:rPr>
        <w:t xml:space="preserve">Given the absence of evidence on the risk of  overconsumption of interventions’ in the context of China, we used the data extracted from </w:t>
      </w:r>
      <w:r>
        <w:rPr>
          <w:rFonts w:cs="Times New Roman"/>
          <w:szCs w:val="24"/>
        </w:rPr>
        <w:fldChar w:fldCharType="begin" w:fldLock="1"/>
      </w:r>
      <w:r>
        <w:rPr>
          <w:rFonts w:cs="Times New Roman"/>
          <w:szCs w:val="24"/>
        </w:rPr>
        <w:instrText>ADDIN CSL_CITATION {"citationItems":[{"id":"ITEM-1","itemData":{"ISSN":"1476-5640","author":[{"dropping-particle":"","family":"Sacco","given":"Jocelyn E","non-dropping-particle":"","parse-names":false,"suffix":""},{"dropping-particle":"","family":"Dodd","given":"Kevin W","non-dropping-particle":"","parse-names":false,"suffix":""},{"dropping-particle":"","family":"Kirkpatrick","given":"Sharon I","non-dropping-particle":"","parse-names":false,"suffix":""},{"dropping-particle":"","family":"Tarasuk","given":"Valerie","non-dropping-particle":"","parse-names":false,"suffix":""}],"container-title":"European journal of clinical nutrition","id":"ITEM-1","issue":"6","issued":{"date-parts":[["2013"]]},"page":"592-597","publisher":"Nature Publishing Group","title":"Voluntary food fortification in the United States: potential for excessive intakes","type":"article-journal","volume":"67"},"uris":["http://www.mendeley.com/documents/?uuid=d4cff050-00e3-4ea1-924a-bee7129f742c"]}],"mendeley":{"formattedCitation":"(Sacco &lt;i&gt;et al.&lt;/i&gt;, 2013)","manualFormatting":"Sacco et al. (2013)","plainTextFormattedCitation":"(Sacco et al., 2013)","previouslyFormattedCitation":"(Sacco &lt;i&gt;et al.&lt;/i&gt;, 2013)"},"properties":{"noteIndex":0},"schema":"https://github.com/citation-style-language/schema/raw/master/csl-citation.json"}</w:instrText>
      </w:r>
      <w:r>
        <w:rPr>
          <w:rFonts w:cs="Times New Roman"/>
          <w:szCs w:val="24"/>
        </w:rPr>
        <w:fldChar w:fldCharType="separate"/>
      </w:r>
      <w:r w:rsidRPr="00DC5F77">
        <w:rPr>
          <w:rFonts w:cs="Times New Roman"/>
          <w:noProof/>
          <w:szCs w:val="24"/>
        </w:rPr>
        <w:t xml:space="preserve">Sacco </w:t>
      </w:r>
      <w:r w:rsidRPr="00DC5F77">
        <w:rPr>
          <w:rFonts w:cs="Times New Roman"/>
          <w:i/>
          <w:noProof/>
          <w:szCs w:val="24"/>
        </w:rPr>
        <w:t>et al.</w:t>
      </w:r>
      <w:r w:rsidRPr="00DC5F77">
        <w:rPr>
          <w:rFonts w:cs="Times New Roman"/>
          <w:noProof/>
          <w:szCs w:val="24"/>
        </w:rPr>
        <w:t xml:space="preserve"> </w:t>
      </w:r>
      <w:r>
        <w:rPr>
          <w:rFonts w:cs="Times New Roman"/>
          <w:noProof/>
          <w:szCs w:val="24"/>
        </w:rPr>
        <w:t>(</w:t>
      </w:r>
      <w:r w:rsidRPr="00DC5F77">
        <w:rPr>
          <w:rFonts w:cs="Times New Roman"/>
          <w:noProof/>
          <w:szCs w:val="24"/>
        </w:rPr>
        <w:t>2013)</w:t>
      </w:r>
      <w:r>
        <w:rPr>
          <w:rFonts w:cs="Times New Roman"/>
          <w:szCs w:val="24"/>
        </w:rPr>
        <w:fldChar w:fldCharType="end"/>
      </w:r>
      <w:r>
        <w:rPr>
          <w:rFonts w:cs="Times New Roman"/>
          <w:szCs w:val="24"/>
        </w:rPr>
        <w:t xml:space="preserve"> and, as previously noted, assumed a linear relationship for target population adjustment in our model. Given that Western customers’ dietary patterns are expected to differ from those of Chinese consumers, one must carefully interpret the findings. Therefore, we thoroughly considered the data uncertainties and applied variation ranges in our sensitivity analysis.  </w:t>
      </w:r>
    </w:p>
    <w:p w14:paraId="0BB21321" w14:textId="77777777" w:rsidR="0065057A" w:rsidRDefault="0065057A" w:rsidP="0065057A">
      <w:pPr>
        <w:ind w:firstLineChars="100" w:firstLine="240"/>
        <w:rPr>
          <w:rFonts w:cs="Times New Roman"/>
          <w:szCs w:val="24"/>
        </w:rPr>
      </w:pPr>
      <w:bookmarkStart w:id="13" w:name="_Hlk134400373"/>
      <w:r w:rsidRPr="00014E8C">
        <w:rPr>
          <w:rFonts w:cs="Times New Roman"/>
          <w:szCs w:val="24"/>
        </w:rPr>
        <w:t xml:space="preserve">The interventions' coverage rate was assumed to be 45% in the baseline model with a range from 30% to 60% in the sensitivity analysis to combat the uncertainty. </w:t>
      </w:r>
      <w:r>
        <w:rPr>
          <w:rFonts w:cs="Times New Roman"/>
          <w:szCs w:val="24"/>
        </w:rPr>
        <w:t>This assumption was based on the previous studies conducted by</w:t>
      </w:r>
      <w:r>
        <w:rPr>
          <w:rFonts w:cs="Times New Roman"/>
          <w:szCs w:val="24"/>
        </w:rPr>
        <w:fldChar w:fldCharType="begin" w:fldLock="1"/>
      </w:r>
      <w:r>
        <w:rPr>
          <w:rFonts w:cs="Times New Roman"/>
          <w:szCs w:val="24"/>
        </w:rPr>
        <w:instrText>ADDIN CSL_CITATION {"citationItems":[{"id":"ITEM-1","itemData":{"author":[{"dropping-particle":"","family":"Li","given":"Luping","non-dropping-particle":"","parse-names":false,"suffix":""},{"dropping-particle":"","family":"Zhang","given":"Jinlei","non-dropping-particle":"","parse-names":false,"suffix":""}],"container-title":"Current Biotechnology( in Chinese)","id":"ITEM-1","issue":"6","issued":{"date-parts":[["2016"]]},"page":"414-421","title":"The Cost-benefit and Cost-effectiveness of HarvestPlus-China Program: an Ex-ante Analysis of Biofortified Iron-rich Wheat in China","type":"article-journal","volume":"6"},"uris":["http://www.mendeley.com/documents/?uuid=d13d270c-af4c-4620-83bf-b467e2e854fe"]},{"id":"ITEM-2","itemData":{"ISSN":"1871-6784","author":[{"dropping-particle":"","family":"Steur","given":"Hans","non-dropping-particle":"De","parse-names":false,"suffix":""},{"dropping-particle":"","family":"Gellynck","given":"Xavier","non-dropping-particle":"","parse-names":false,"suffix":""},{"dropping-particle":"","family":"Blancquaert","given":"Dieter","non-dropping-particle":"","parse-names":false,"suffix":""},{"dropping-particle":"","family":"Lambert","given":"Willy","non-dropping-particle":"","parse-names":false,"suffix":""},{"dropping-particle":"","family":"Straeten","given":"Dominique","non-dropping-particle":"Van Der","parse-names":false,"suffix":""},{"dropping-particle":"","family":"Qaim","given":"Matin","non-dropping-particle":"","parse-names":false,"suffix":""}],"container-title":"New Biotechnology","id":"ITEM-2","issue":"3","issued":{"date-parts":[["2012"]]},"page":"432-442","publisher":"Elsevier","title":"Potential impact and cost-effectiveness of multi-biofortified rice in China","type":"article-journal","volume":"29"},"uris":["http://www.mendeley.com/documents/?uuid=d67ff87f-02ca-433b-8893-7aec53a2fe5a"]}],"mendeley":{"formattedCitation":"(De Steur, Gellynck, Blancquaert, Lambert, Van Der Straeten, &lt;i&gt;et al.&lt;/i&gt;, 2012; Li and Zhang, 2016)","manualFormatting":" De Steur et al. (2012) and Li and Zhang (2016)","plainTextFormattedCitation":"(De Steur, Gellynck, Blancquaert, Lambert, Van Der Straeten, et al., 2012; Li and Zhang, 2016)","previouslyFormattedCitation":"(De Steur, Gellynck, Blancquaert, Lambert, Van Der Straeten, &lt;i&gt;et al.&lt;/i&gt;, 2012; Li and Zhang, 2016)"},"properties":{"noteIndex":0},"schema":"https://github.com/citation-style-language/schema/raw/master/csl-citation.json"}</w:instrText>
      </w:r>
      <w:r>
        <w:rPr>
          <w:rFonts w:cs="Times New Roman"/>
          <w:szCs w:val="24"/>
        </w:rPr>
        <w:fldChar w:fldCharType="separate"/>
      </w:r>
      <w:r>
        <w:rPr>
          <w:rFonts w:cs="Times New Roman"/>
          <w:noProof/>
          <w:szCs w:val="24"/>
        </w:rPr>
        <w:t xml:space="preserve"> </w:t>
      </w:r>
      <w:r w:rsidRPr="00DA4E49">
        <w:rPr>
          <w:rFonts w:cs="Times New Roman"/>
          <w:noProof/>
          <w:szCs w:val="24"/>
        </w:rPr>
        <w:t xml:space="preserve">De Steur </w:t>
      </w:r>
      <w:r w:rsidRPr="00DA4E49">
        <w:rPr>
          <w:rFonts w:cs="Times New Roman"/>
          <w:i/>
          <w:noProof/>
          <w:szCs w:val="24"/>
        </w:rPr>
        <w:t>et al.</w:t>
      </w:r>
      <w:r w:rsidRPr="00DA4E49">
        <w:rPr>
          <w:rFonts w:cs="Times New Roman"/>
          <w:noProof/>
          <w:szCs w:val="24"/>
        </w:rPr>
        <w:t xml:space="preserve"> </w:t>
      </w:r>
      <w:r>
        <w:rPr>
          <w:rFonts w:cs="Times New Roman"/>
          <w:noProof/>
          <w:szCs w:val="24"/>
        </w:rPr>
        <w:t>(</w:t>
      </w:r>
      <w:r w:rsidRPr="00DA4E49">
        <w:rPr>
          <w:rFonts w:cs="Times New Roman"/>
          <w:noProof/>
          <w:szCs w:val="24"/>
        </w:rPr>
        <w:t>2012</w:t>
      </w:r>
      <w:r>
        <w:rPr>
          <w:rFonts w:cs="Times New Roman"/>
          <w:noProof/>
          <w:szCs w:val="24"/>
        </w:rPr>
        <w:t>) and</w:t>
      </w:r>
      <w:r w:rsidRPr="00DA4E49">
        <w:rPr>
          <w:rFonts w:cs="Times New Roman"/>
          <w:noProof/>
          <w:szCs w:val="24"/>
        </w:rPr>
        <w:t xml:space="preserve"> Li and Zhang </w:t>
      </w:r>
      <w:r>
        <w:rPr>
          <w:rFonts w:cs="Times New Roman"/>
          <w:noProof/>
          <w:szCs w:val="24"/>
        </w:rPr>
        <w:t>(</w:t>
      </w:r>
      <w:r w:rsidRPr="00DA4E49">
        <w:rPr>
          <w:rFonts w:cs="Times New Roman"/>
          <w:noProof/>
          <w:szCs w:val="24"/>
        </w:rPr>
        <w:t>2016)</w:t>
      </w:r>
      <w:r>
        <w:rPr>
          <w:rFonts w:cs="Times New Roman"/>
          <w:szCs w:val="24"/>
        </w:rPr>
        <w:fldChar w:fldCharType="end"/>
      </w:r>
      <w:r>
        <w:rPr>
          <w:rFonts w:cs="Times New Roman"/>
          <w:szCs w:val="24"/>
        </w:rPr>
        <w:t xml:space="preserve">, </w:t>
      </w:r>
      <w:r w:rsidRPr="00DA4E49">
        <w:rPr>
          <w:rFonts w:cs="Times New Roman"/>
          <w:szCs w:val="24"/>
        </w:rPr>
        <w:t xml:space="preserve">in which they estimated the biofortification coverage was 30% for the pessimistic scenario and 60% for the optimistic scenario </w:t>
      </w:r>
      <w:r>
        <w:rPr>
          <w:rFonts w:cs="Times New Roman"/>
          <w:szCs w:val="24"/>
        </w:rPr>
        <w:t>.</w:t>
      </w:r>
    </w:p>
    <w:bookmarkEnd w:id="13"/>
    <w:p w14:paraId="5341534D" w14:textId="77777777" w:rsidR="00F9357B" w:rsidRPr="00F9357B" w:rsidRDefault="00F9357B" w:rsidP="00F9357B">
      <w:pPr>
        <w:ind w:firstLine="480"/>
        <w:rPr>
          <w:rFonts w:eastAsiaTheme="minorEastAsia"/>
        </w:rPr>
      </w:pPr>
    </w:p>
    <w:p w14:paraId="3E88E2D2" w14:textId="2A988D07" w:rsidR="00035381" w:rsidRPr="00314198" w:rsidRDefault="00565304" w:rsidP="00314198">
      <w:pPr>
        <w:ind w:firstLine="480"/>
        <w:rPr>
          <w:rFonts w:cs="Times New Roman"/>
          <w:i/>
          <w:iCs/>
          <w:szCs w:val="24"/>
        </w:rPr>
      </w:pPr>
      <w:r w:rsidRPr="00314198">
        <w:rPr>
          <w:rFonts w:cs="Times New Roman"/>
          <w:i/>
          <w:iCs/>
          <w:szCs w:val="24"/>
        </w:rPr>
        <w:t>Health outcome</w:t>
      </w:r>
      <w:r w:rsidR="008826A0" w:rsidRPr="00314198">
        <w:rPr>
          <w:rFonts w:cs="Times New Roman"/>
          <w:i/>
          <w:iCs/>
          <w:szCs w:val="24"/>
        </w:rPr>
        <w:t>s</w:t>
      </w:r>
      <w:r w:rsidRPr="00314198">
        <w:rPr>
          <w:rFonts w:cs="Times New Roman"/>
          <w:i/>
          <w:iCs/>
          <w:szCs w:val="24"/>
        </w:rPr>
        <w:t xml:space="preserve"> </w:t>
      </w:r>
    </w:p>
    <w:p w14:paraId="3E88E2D3" w14:textId="2D71AC4E" w:rsidR="00035381" w:rsidRDefault="00AD1E81" w:rsidP="00AD1E81">
      <w:pPr>
        <w:ind w:firstLineChars="100" w:firstLine="240"/>
        <w:rPr>
          <w:rFonts w:cs="Times New Roman"/>
          <w:szCs w:val="24"/>
        </w:rPr>
      </w:pPr>
      <w:r>
        <w:rPr>
          <w:rFonts w:cs="Times New Roman"/>
          <w:szCs w:val="24"/>
        </w:rPr>
        <w:t>Q</w:t>
      </w:r>
      <w:r w:rsidR="00565304">
        <w:rPr>
          <w:rFonts w:cs="Times New Roman"/>
          <w:szCs w:val="24"/>
        </w:rPr>
        <w:t>ALY</w:t>
      </w:r>
      <w:r w:rsidR="008826A0">
        <w:rPr>
          <w:rFonts w:cs="Times New Roman"/>
          <w:szCs w:val="24"/>
        </w:rPr>
        <w:t>s</w:t>
      </w:r>
      <w:r w:rsidR="00565304">
        <w:rPr>
          <w:rFonts w:cs="Times New Roman"/>
          <w:szCs w:val="24"/>
        </w:rPr>
        <w:t xml:space="preserve"> gained per year of zinc supplementation, food fortification, and biofortification were used to measure the benefits</w:t>
      </w:r>
      <w:r w:rsidR="00BB7E2F">
        <w:rPr>
          <w:rFonts w:cs="Times New Roman"/>
          <w:szCs w:val="24"/>
        </w:rPr>
        <w:t xml:space="preserve"> of the interventions</w:t>
      </w:r>
      <w:r w:rsidR="00565304">
        <w:rPr>
          <w:rFonts w:cs="Times New Roman"/>
          <w:szCs w:val="24"/>
        </w:rPr>
        <w:t xml:space="preserve">. </w:t>
      </w:r>
      <w:r w:rsidR="00BB7E2F">
        <w:rPr>
          <w:rFonts w:cs="Times New Roman"/>
          <w:szCs w:val="24"/>
        </w:rPr>
        <w:t xml:space="preserve">The </w:t>
      </w:r>
      <w:r w:rsidR="00565304">
        <w:rPr>
          <w:rFonts w:cs="Times New Roman"/>
          <w:szCs w:val="24"/>
        </w:rPr>
        <w:t xml:space="preserve">QALYs utility weights of healthy </w:t>
      </w:r>
      <w:r w:rsidR="00BB7E2F">
        <w:rPr>
          <w:rFonts w:cs="Times New Roman"/>
          <w:szCs w:val="24"/>
        </w:rPr>
        <w:t xml:space="preserve">individuals </w:t>
      </w:r>
      <w:r w:rsidR="00565304">
        <w:rPr>
          <w:rFonts w:cs="Times New Roman"/>
          <w:szCs w:val="24"/>
        </w:rPr>
        <w:t xml:space="preserve">were adjusted by the </w:t>
      </w:r>
      <w:r w:rsidR="00BB7E2F">
        <w:rPr>
          <w:rFonts w:cs="Times New Roman"/>
          <w:szCs w:val="24"/>
        </w:rPr>
        <w:t xml:space="preserve">average </w:t>
      </w:r>
      <w:r w:rsidR="00565304">
        <w:rPr>
          <w:rFonts w:cs="Times New Roman"/>
          <w:szCs w:val="24"/>
        </w:rPr>
        <w:t xml:space="preserve">health status weights derived from the EQ-5D-3L </w:t>
      </w:r>
      <w:r w:rsidR="00E63799">
        <w:rPr>
          <w:rFonts w:cs="Times New Roman"/>
          <w:szCs w:val="24"/>
        </w:rPr>
        <w:t xml:space="preserve">scores </w:t>
      </w:r>
      <w:r w:rsidR="00565304">
        <w:rPr>
          <w:rFonts w:cs="Times New Roman"/>
          <w:szCs w:val="24"/>
        </w:rPr>
        <w:t xml:space="preserve">of the Chinese population, which is 0.985 for </w:t>
      </w:r>
      <w:r w:rsidR="005748A3">
        <w:rPr>
          <w:rFonts w:cs="Times New Roman"/>
          <w:szCs w:val="24"/>
        </w:rPr>
        <w:t xml:space="preserve">normal </w:t>
      </w:r>
      <w:r w:rsidR="00565304">
        <w:rPr>
          <w:rFonts w:cs="Times New Roman"/>
          <w:szCs w:val="24"/>
        </w:rPr>
        <w:t xml:space="preserve">healthy people </w:t>
      </w:r>
      <w:r w:rsidR="00565304">
        <w:rPr>
          <w:rFonts w:cs="Times New Roman"/>
          <w:szCs w:val="24"/>
        </w:rPr>
        <w:fldChar w:fldCharType="begin" w:fldLock="1"/>
      </w:r>
      <w:r w:rsidR="00F417F3">
        <w:rPr>
          <w:rFonts w:cs="Times New Roman"/>
          <w:szCs w:val="24"/>
        </w:rPr>
        <w:instrText>ADDIN CSL_CITATION {"citationItems":[{"id":"ITEM-1","itemData":{"DOI":"10.1186/s12955-019-1109-x","ISSN":"14777525","PMID":"30866953","abstract":"Backgrounds: The EuroQol Group Five-Dimensional (EQ-5D) instruments have been validated in China for measuring health-related quality of life (HRQoL) and are increasingly being used in health economic studies. However, there is paucity in the literature documenting long-term changes in the EQ-5D results in the Chinese populations. This study aims to identify such changes and their determinants using the EQ-5D-3 L instrument. Methods: Data were obtained from the National Health Services Surveys in China, which included the EQ-5D-3 L since 2008. We compared the differences between the 2008 and 2013 surveys in the percentage of reported problems, visual analogue scale (VAS) scores, and the EQ-5D-3 L utility index derived from the national value sets. Factors associated with population changes in these EQ-5D results were identified using logistic, linear and Tobit regression models, respectively. Results: Compared with 2008, reported problems in self-care (3.3% vs 3.1%), usual activities (4.8% vs 4.6%) and anxiety/depression (6.4% vs 5.3%) decreased, whereas reported problems in mobility (5.1% vs 5.9%) and pain/discomfort (9.3% vs 12.6%) increased significantly (p &lt; 0.05) in 2013. The regression models revealed a rise (β = 1.61, p &lt; 0.001) in VAS scores, but a slight drop (β = - 0.01, p &lt; 0.001) in utility index in 2013 compared with 2008 after controlling for variations in demographic, behavioral, socioeconomic and residential variables. But the effect sizes of the changes over time (estimated by \"average change divided by baseline standard deviation\") did not reach the threshold of clinical importance after adjustment for variations in other factors. Higher socioeconomic status (in terms of education, income and residential location) was associated with better EQ-5D-3 L results. Conclusion: The changing trend (decrease) of the utility index is contradictory to that (increase) of the VAS scores, although neither is deemed clinically important. It is evident that socioeconomic and regional disparities in HRQoL exist in China.","author":[{"dropping-particle":"","family":"Yao","given":"Qiang","non-dropping-particle":"","parse-names":false,"suffix":""},{"dropping-particle":"","family":"Liu","given":"Chaojie","non-dropping-particle":"","parse-names":false,"suffix":""},{"dropping-particle":"","family":"Zhang","given":"Yaoguang","non-dropping-particle":"","parse-names":false,"suffix":""},{"dropping-particle":"","family":"Xu","given":"Ling","non-dropping-particle":"","parse-names":false,"suffix":""}],"container-title":"Health and Quality of Life Outcomes","id":"ITEM-1","issue":"1","issued":{"date-parts":[["2019"]]},"page":"1-12","publisher":"Health and Quality of Life Outcomes","title":"Changes in health-related quality of life of Chinese populations measured by the EQ-5D-3 L: A comparison of the 2008 and 2013 National Health Services Surveys","type":"article-journal","volume":"17"},"uris":["http://www.mendeley.com/documents/?uuid=11ae03bf-5232-4781-b7f3-217c15650b56"]}],"mendeley":{"formattedCitation":"(Yao &lt;i&gt;et al.&lt;/i&gt;, 2019)","plainTextFormattedCitation":"(Yao et al., 2019)","previouslyFormattedCitation":"(Yao &lt;i&gt;et al.&lt;/i&gt;, 2019)"},"properties":{"noteIndex":0},"schema":"https://github.com/citation-style-language/schema/raw/master/csl-citation.json"}</w:instrText>
      </w:r>
      <w:r w:rsidR="00565304">
        <w:rPr>
          <w:rFonts w:cs="Times New Roman"/>
          <w:szCs w:val="24"/>
        </w:rPr>
        <w:fldChar w:fldCharType="separate"/>
      </w:r>
      <w:r w:rsidR="00F417F3" w:rsidRPr="00F417F3">
        <w:rPr>
          <w:rFonts w:cs="Times New Roman"/>
          <w:noProof/>
          <w:szCs w:val="24"/>
        </w:rPr>
        <w:t xml:space="preserve">(Yao </w:t>
      </w:r>
      <w:r w:rsidR="00F417F3" w:rsidRPr="00F417F3">
        <w:rPr>
          <w:rFonts w:cs="Times New Roman"/>
          <w:i/>
          <w:noProof/>
          <w:szCs w:val="24"/>
        </w:rPr>
        <w:t>et al.</w:t>
      </w:r>
      <w:r w:rsidR="00F417F3" w:rsidRPr="00F417F3">
        <w:rPr>
          <w:rFonts w:cs="Times New Roman"/>
          <w:noProof/>
          <w:szCs w:val="24"/>
        </w:rPr>
        <w:t>, 2019)</w:t>
      </w:r>
      <w:r w:rsidR="00565304">
        <w:rPr>
          <w:rFonts w:cs="Times New Roman"/>
          <w:szCs w:val="24"/>
        </w:rPr>
        <w:fldChar w:fldCharType="end"/>
      </w:r>
      <w:r w:rsidR="00565304">
        <w:rPr>
          <w:rFonts w:cs="Times New Roman"/>
          <w:szCs w:val="24"/>
        </w:rPr>
        <w:t xml:space="preserve">. According to the disability weights measurement study by </w:t>
      </w:r>
      <w:r w:rsidR="00565304">
        <w:rPr>
          <w:rFonts w:cs="Times New Roman"/>
          <w:szCs w:val="24"/>
        </w:rPr>
        <w:fldChar w:fldCharType="begin" w:fldLock="1"/>
      </w:r>
      <w:r w:rsidR="00F417F3">
        <w:rPr>
          <w:rFonts w:cs="Times New Roman"/>
          <w:szCs w:val="24"/>
        </w:rPr>
        <w:instrText>ADDIN CSL_CITATION {"citationItems":[{"id":"ITEM-1","itemData":{"DOI":"10.1016/S0140-6736(12)61680-8","author":[{"dropping-particle":"","family":"Salomon","given":"Joshua A","non-dropping-particle":"","parse-names":false,"suffix":""},{"dropping-particle":"","family":"Vos","given":"Theo","non-dropping-particle":"","parse-names":false,"suffix":""},{"dropping-particle":"","family":"Hogan","given":"Daniel R","non-dropping-particle":"","parse-names":false,"suffix":""},{"dropping-particle":"","family":"Gagnon","given":"Michael","non-dropping-particle":"","parse-names":false,"suffix":""},{"dropping-particle":"","family":"Naghavi","given":"Mohsen","non-dropping-particle":"","parse-names":false,"suffix":""},{"dropping-particle":"","family":"Mokdad","given":"Ali","non-dropping-particle":"","parse-names":false,"suffix":""},{"dropping-particle":"","family":"Begum","given":"Nazma","non-dropping-particle":"","parse-names":false,"suffix":""},{"dropping-particle":"","family":"Shah","given":"Razibuzzaman","non-dropping-particle":"","parse-names":false,"suffix":""},{"dropping-particle":"","family":"Karyana","given":"Muhammad","non-dropping-particle":"","parse-names":false,"suffix":""},{"dropping-particle":"","family":"Kosen","given":"Soewarta","non-dropping-particle":"","parse-names":false,"suffix":""},{"dropping-particle":"","family":"Farje","given":"Mario Reyna","non-dropping-particle":"","parse-names":false,"suffix":""},{"dropping-particle":"","family":"Moncada","given":"Gilberto","non-dropping-particle":"","parse-names":false,"suffix":""},{"dropping-particle":"","family":"Dutta","given":"Arup","non-dropping-particle":"","parse-names":false,"suffix":""},{"dropping-particle":"","family":"Sazawal","given":"Sunil","non-dropping-particle":"","parse-names":false,"suffix":""},{"dropping-particle":"","family":"Dyer","given":"Andrew","non-dropping-particle":"","parse-names":false,"suffix":""},{"dropping-particle":"","family":"Seiler","given":"Jason","non-dropping-particle":"","parse-names":false,"suffix":""},{"dropping-particle":"","family":"Aboyans","given":"Victor","non-dropping-particle":"","parse-names":false,"suffix":""},{"dropping-particle":"","family":"Baker","given":"Lesley","non-dropping-particle":"","parse-names":false,"suffix":""},{"dropping-particle":"","family":"Baxter","given":"Amanda","non-dropping-particle":"","parse-names":false,"suffix":""},{"dropping-particle":"","family":"Benjamin","given":"Emelia J","non-dropping-particle":"","parse-names":false,"suffix":""},{"dropping-particle":"","family":"Bhalla","given":"Kavi","non-dropping-particle":"","parse-names":false,"suffix":""},{"dropping-particle":"Bin","family":"Abdulhak","given":"Aref","non-dropping-particle":"","parse-names":false,"suffix":""},{"dropping-particle":"","family":"Blyth","given":"Fiona","non-dropping-particle":"","parse-names":false,"suffix":""},{"dropping-particle":"","family":"Bourne","given":"Rupert","non-dropping-particle":"","parse-names":false,"suffix":""},{"dropping-particle":"","family":"Braithwaite","given":"Tasanee","non-dropping-particle":"","parse-names":false,"suffix":""},{"dropping-particle":"","family":"Brooks","given":"Peter","non-dropping-particle":"","parse-names":false,"suffix":""},{"dropping-particle":"","family":"Brugha","given":"Traolach S","non-dropping-particle":"","parse-names":false,"suffix":""},{"dropping-particle":"","family":"Bryan-hancock","given":"Claire","non-dropping-particle":"","parse-names":false,"suffix":""},{"dropping-particle":"","family":"Buchbinder","given":"Rachelle","non-dropping-particle":"","parse-names":false,"suffix":""},{"dropping-particle":"","family":"Burney","given":"Peter","non-dropping-particle":"","parse-names":false,"suffix":""},{"dropping-particle":"","family":"Hel-baqui","given":"Abdullah","non-dropping-particle":"","parse-names":false,"suffix":""},{"dropping-particle":"","family":"Hoek","given":"Hans W","non-dropping-particle":"","parse-names":false,"suffix":""},{"dropping-particle":"","family":"Hoff","given":"Howard","non-dropping-particle":"","parse-names":false,"suffix":""},{"dropping-particle":"","family":"Hogeland","given":"Emily","non-dropping-particle":"","parse-names":false,"suffix":""},{"dropping-particle":"","family":"Hoy","given":"Damian","non-dropping-particle":"","parse-names":false,"suffix":""},{"dropping-particle":"","family":"Jarvis","given":"Deborah","non-dropping-particle":"","parse-names":false,"suffix":""},{"dropping-particle":"","family":"Karthikeyan","given":"Ganesan","non-dropping-particle":"","parse-names":false,"suffix":""},{"dropping-particle":"","family":"Knowlton","given":"Lisa Marie","non-dropping-particle":"","parse-names":false,"suffix":""},{"dropping-particle":"","family":"Lathlean","given":"Tim","non-dropping-particle":"","parse-names":false,"suffix":""},{"dropping-particle":"","family":"Mcgill","given":"Neil","non-dropping-particle":"","parse-names":false,"suffix":""},{"dropping-particle":"","family":"Mcgrath","given":"John","non-dropping-particle":"","parse-names":false,"suffix":""},{"dropping-particle":"","family":"Mensah","given":"George A","non-dropping-particle":"","parse-names":false,"suffix":""},{"dropping-particle":"","family":"Meyer","given":"Ana-claire","non-dropping-particle":"","parse-names":false,"suffix":""},{"dropping-particle":"","family":"Michaud","given":"Catherine","non-dropping-particle":"","parse-names":false,"suffix":""},{"dropping-particle":"","family":"Moran","given":"Andrew","non-dropping-particle":"","parse-names":false,"suffix":""},{"dropping-particle":"","family":"Mori","given":"Rintaro","non-dropping-particle":"","parse-names":false,"suffix":""},{"dropping-particle":"","family":"Murdoch","given":"Michele E","non-dropping-particle":"","parse-names":false,"suffix":""},{"dropping-particle":"","family":"Naldi","given":"Luigi","non-dropping-particle":"","parse-names":false,"suffix":""},{"dropping-particle":"","family":"Newton","given":"Charles R","non-dropping-particle":"","parse-names":false,"suffix":""},{"dropping-particle":"","family":"Norman","given":"Rosana","non-dropping-particle":"","parse-names":false,"suffix":""},{"dropping-particle":"","family":"Omer","given":"Saad B","non-dropping-particle":"","parse-names":false,"suffix":""},{"dropping-particle":"","family":"Osborne","given":"Richard","non-dropping-particle":"","parse-names":false,"suffix":""},{"dropping-particle":"","family":"Pearce","given":"Neil","non-dropping-particle":"","parse-names":false,"suffix":""},{"dropping-particle":"","family":"Perez-ruiz","given":"Fernando","non-dropping-particle":"","parse-names":false,"suffix":""},{"dropping-particle":"","family":"Perico","given":"Norberto","non-dropping-particle":"","parse-names":false,"suffix":""},{"dropping-particle":"","family":"Pesudovs","given":"Konrad","non-dropping-particle":"","parse-names":false,"suffix":""},{"dropping-particle":"","family":"Phillips","given":"David","non-dropping-particle":"","parse-names":false,"suffix":""},{"dropping-particle":"","family":"Weisskopf","given":"Marc G","non-dropping-particle":"","parse-names":false,"suffix":""},{"dropping-particle":"","family":"Whiteford","given":"Harvey","non-dropping-particle":"","parse-names":false,"suffix":""},{"dropping-particle":"","family":"Wilkinson","given":"James D","non-dropping-particle":"","parse-names":false,"suffix":""},{"dropping-particle":"","family":"Woolf","given":"Anthony D","non-dropping-particle":"","parse-names":false,"suffix":""},{"dropping-particle":"","family":"Zheng","given":"Zhi-jie","non-dropping-particle":"","parse-names":false,"suffix":""},{"dropping-particle":"","family":"Murray","given":"Christopher J L","non-dropping-particle":"","parse-names":false,"suffix":""},{"dropping-particle":"","family":"Bill","given":"Funding","non-dropping-particle":"","parse-names":false,"suffix":""},{"dropping-particle":"","family":"Foundation","given":"Melinda Gates","non-dropping-particle":"","parse-names":false,"suffix":""}],"id":"ITEM-1","issued":{"date-parts":[["2010"]]},"page":"2129-2143","title":"Common values in assessing health outcomes from disease and injury : disability weights measurement study for the Global Burden of Disease Study 2010","type":"article-journal"},"uris":["http://www.mendeley.com/documents/?uuid=ac0a1300-f394-4591-8ce8-2f67c6f5a00c"]}],"mendeley":{"formattedCitation":"(Salomon &lt;i&gt;et al.&lt;/i&gt;, 2010)","manualFormatting":"Salomon et al. (2010)","plainTextFormattedCitation":"(Salomon et al., 2010)","previouslyFormattedCitation":"(Salomon &lt;i&gt;et al.&lt;/i&gt;, 2010)"},"properties":{"noteIndex":0},"schema":"https://github.com/citation-style-language/schema/raw/master/csl-citation.json"}</w:instrText>
      </w:r>
      <w:r w:rsidR="00565304">
        <w:rPr>
          <w:rFonts w:cs="Times New Roman"/>
          <w:szCs w:val="24"/>
        </w:rPr>
        <w:fldChar w:fldCharType="separate"/>
      </w:r>
      <w:r w:rsidR="00565304">
        <w:rPr>
          <w:rFonts w:cs="Times New Roman"/>
          <w:noProof/>
          <w:szCs w:val="24"/>
        </w:rPr>
        <w:t>Salomon et al. (2010)</w:t>
      </w:r>
      <w:r w:rsidR="00565304">
        <w:rPr>
          <w:rFonts w:cs="Times New Roman"/>
          <w:szCs w:val="24"/>
        </w:rPr>
        <w:fldChar w:fldCharType="end"/>
      </w:r>
      <w:r w:rsidR="00565304">
        <w:rPr>
          <w:rFonts w:cs="Times New Roman"/>
          <w:szCs w:val="24"/>
        </w:rPr>
        <w:t>, the disability weight for children with pneumonia and anemia is estimated to be 0.21 and 0.058, respectively.</w:t>
      </w:r>
    </w:p>
    <w:p w14:paraId="3E88E2D4" w14:textId="77777777" w:rsidR="00035381" w:rsidRDefault="00035381">
      <w:pPr>
        <w:ind w:firstLine="480"/>
        <w:rPr>
          <w:rFonts w:cs="Times New Roman"/>
          <w:szCs w:val="24"/>
        </w:rPr>
      </w:pPr>
    </w:p>
    <w:p w14:paraId="3E88E2D5" w14:textId="77777777" w:rsidR="00035381" w:rsidRDefault="00565304">
      <w:pPr>
        <w:ind w:firstLine="480"/>
        <w:rPr>
          <w:rFonts w:cs="Times New Roman"/>
          <w:i/>
          <w:iCs/>
          <w:szCs w:val="24"/>
        </w:rPr>
      </w:pPr>
      <w:r>
        <w:rPr>
          <w:rFonts w:cs="Times New Roman"/>
          <w:i/>
          <w:iCs/>
          <w:szCs w:val="24"/>
        </w:rPr>
        <w:t xml:space="preserve">Costs of diseases and interventions </w:t>
      </w:r>
    </w:p>
    <w:p w14:paraId="3E88E2D6" w14:textId="24D5588B" w:rsidR="00035381" w:rsidRDefault="00DF4F27">
      <w:pPr>
        <w:ind w:firstLineChars="100" w:firstLine="240"/>
        <w:rPr>
          <w:rFonts w:cs="Times New Roman"/>
          <w:szCs w:val="24"/>
        </w:rPr>
      </w:pPr>
      <w:bookmarkStart w:id="14" w:name="_Hlk134400290"/>
      <w:r w:rsidRPr="00DF4F27">
        <w:rPr>
          <w:rFonts w:cs="Times New Roman"/>
          <w:szCs w:val="24"/>
        </w:rPr>
        <w:t>In our estimation, we considered not only the direct cost of implementation and medical cost savings of pneumonia incurred by the interventions, but also the indirect cost derived from excessive zinc intake</w:t>
      </w:r>
      <w:r w:rsidR="00A504CD" w:rsidRPr="00383665">
        <w:rPr>
          <w:rFonts w:cs="Times New Roman"/>
          <w:szCs w:val="24"/>
        </w:rPr>
        <w:t>.</w:t>
      </w:r>
      <w:bookmarkEnd w:id="14"/>
      <w:r w:rsidR="00A504CD" w:rsidRPr="00383665">
        <w:rPr>
          <w:rFonts w:cs="Times New Roman"/>
          <w:szCs w:val="24"/>
        </w:rPr>
        <w:t xml:space="preserve"> </w:t>
      </w:r>
      <w:r w:rsidR="00565304">
        <w:rPr>
          <w:rFonts w:cs="Times New Roman"/>
          <w:szCs w:val="24"/>
        </w:rPr>
        <w:t xml:space="preserve">According to the China Health Statistical Yearbook 2021, the average </w:t>
      </w:r>
      <w:r w:rsidR="00C132A2">
        <w:rPr>
          <w:rFonts w:cs="Times New Roman"/>
          <w:szCs w:val="24"/>
        </w:rPr>
        <w:t xml:space="preserve">medical expense of </w:t>
      </w:r>
      <w:r w:rsidR="00565304">
        <w:rPr>
          <w:rFonts w:cs="Times New Roman"/>
          <w:szCs w:val="24"/>
        </w:rPr>
        <w:t xml:space="preserve">hospitalization </w:t>
      </w:r>
      <w:r w:rsidR="00C132A2">
        <w:rPr>
          <w:rFonts w:cs="Times New Roman"/>
          <w:szCs w:val="24"/>
        </w:rPr>
        <w:t xml:space="preserve">of </w:t>
      </w:r>
      <w:r w:rsidR="00565304">
        <w:rPr>
          <w:rFonts w:cs="Times New Roman"/>
          <w:szCs w:val="24"/>
        </w:rPr>
        <w:t>pneumonia in public hospitals is 7638 CNY (1183.97 USD) per case</w:t>
      </w:r>
      <w:r w:rsidR="00001DF5">
        <w:rPr>
          <w:rFonts w:cs="Times New Roman"/>
          <w:szCs w:val="24"/>
        </w:rPr>
        <w:t xml:space="preserve"> </w:t>
      </w:r>
      <w:r w:rsidR="00001DF5">
        <w:rPr>
          <w:rFonts w:cs="Times New Roman"/>
          <w:szCs w:val="24"/>
        </w:rPr>
        <w:fldChar w:fldCharType="begin" w:fldLock="1"/>
      </w:r>
      <w:r w:rsidR="001638CC">
        <w:rPr>
          <w:rFonts w:cs="Times New Roman"/>
          <w:szCs w:val="24"/>
        </w:rPr>
        <w:instrText>ADDIN CSL_CITATION {"citationItems":[{"id":"ITEM-1","itemData":{"author":[{"dropping-particle":"","family":"National Health Commission","given":"","non-dropping-particle":"","parse-names":false,"suffix":""}],"id":"ITEM-1","issued":{"date-parts":[["2021"]]},"publisher-place":"Beijing","title":"China Health Statistics Yearbook 2021","type":"report"},"uris":["http://www.mendeley.com/documents/?uuid=b184bb93-b0c2-4a81-959b-eb889ec96bc9"]}],"mendeley":{"formattedCitation":"(National Health Commission, 2021)","plainTextFormattedCitation":"(National Health Commission, 2021)","previouslyFormattedCitation":"(National Health Commission, 2021)"},"properties":{"noteIndex":0},"schema":"https://github.com/citation-style-language/schema/raw/master/csl-citation.json"}</w:instrText>
      </w:r>
      <w:r w:rsidR="00001DF5">
        <w:rPr>
          <w:rFonts w:cs="Times New Roman"/>
          <w:szCs w:val="24"/>
        </w:rPr>
        <w:fldChar w:fldCharType="separate"/>
      </w:r>
      <w:r w:rsidR="00F417F3" w:rsidRPr="00F417F3">
        <w:rPr>
          <w:rFonts w:cs="Times New Roman"/>
          <w:noProof/>
          <w:szCs w:val="24"/>
        </w:rPr>
        <w:t>(National Health Commission, 2021)</w:t>
      </w:r>
      <w:r w:rsidR="00001DF5">
        <w:rPr>
          <w:rFonts w:cs="Times New Roman"/>
          <w:szCs w:val="24"/>
        </w:rPr>
        <w:fldChar w:fldCharType="end"/>
      </w:r>
      <w:r w:rsidR="00565304">
        <w:rPr>
          <w:rFonts w:cs="Times New Roman"/>
          <w:szCs w:val="24"/>
        </w:rPr>
        <w:t xml:space="preserve">. It is noteworthy that this cost only covers the expenditure </w:t>
      </w:r>
      <w:r w:rsidR="00B477B2">
        <w:rPr>
          <w:rFonts w:cs="Times New Roman"/>
          <w:szCs w:val="24"/>
        </w:rPr>
        <w:t xml:space="preserve">in </w:t>
      </w:r>
      <w:r w:rsidR="00565304">
        <w:rPr>
          <w:rFonts w:cs="Times New Roman"/>
          <w:szCs w:val="24"/>
        </w:rPr>
        <w:t>public hospital</w:t>
      </w:r>
      <w:r w:rsidR="00C132A2">
        <w:rPr>
          <w:rFonts w:cs="Times New Roman"/>
          <w:szCs w:val="24"/>
        </w:rPr>
        <w:t>s</w:t>
      </w:r>
      <w:r w:rsidR="00565304">
        <w:rPr>
          <w:rFonts w:cs="Times New Roman"/>
          <w:szCs w:val="24"/>
        </w:rPr>
        <w:t xml:space="preserve"> not </w:t>
      </w:r>
      <w:r w:rsidR="00B477B2">
        <w:rPr>
          <w:rFonts w:cs="Times New Roman"/>
          <w:szCs w:val="24"/>
        </w:rPr>
        <w:t xml:space="preserve">in </w:t>
      </w:r>
      <w:r w:rsidR="00565304">
        <w:rPr>
          <w:rFonts w:cs="Times New Roman"/>
          <w:szCs w:val="24"/>
        </w:rPr>
        <w:t>other medical systems. According to</w:t>
      </w:r>
      <w:r w:rsidR="00565304">
        <w:rPr>
          <w:rFonts w:cs="Times New Roman"/>
          <w:szCs w:val="24"/>
        </w:rPr>
        <w:fldChar w:fldCharType="begin" w:fldLock="1"/>
      </w:r>
      <w:r w:rsidR="00F417F3">
        <w:rPr>
          <w:rFonts w:cs="Times New Roman"/>
          <w:szCs w:val="24"/>
        </w:rPr>
        <w:instrText>ADDIN CSL_CITATION {"citationItems":[{"id":"ITEM-1","itemData":{"ISSN":"2164-5515","author":[{"dropping-particle":"","family":"Li","given":"Yan","non-dropping-particle":"","parse-names":false,"suffix":""},{"dropping-particle":"","family":"An","given":"Zhijie","non-dropping-particle":"","parse-names":false,"suffix":""},{"dropping-particle":"","family":"Yin","given":"Dapeng","non-dropping-particle":"","parse-names":false,"suffix":""},{"dropping-particle":"","family":"Liu","given":"Yanmin","non-dropping-particle":"","parse-names":false,"suffix":""},{"dropping-particle":"","family":"Huang","given":"Zhuoying","non-dropping-particle":"","parse-names":false,"suffix":""},{"dropping-particle":"","family":"Ma","given":"Yujie","non-dropping-particle":"","parse-names":false,"suffix":""},{"dropping-particle":"","family":"Li","given":"Hui","non-dropping-particle":"","parse-names":false,"suffix":""},{"dropping-particle":"","family":"Li","given":"Qi","non-dropping-particle":"","parse-names":false,"suffix":""},{"dropping-particle":"","family":"Wang","given":"Huaqing","non-dropping-particle":"","parse-names":false,"suffix":""}],"container-title":"Human vaccines &amp; immunotherapeutics","id":"ITEM-1","issue":"7","issued":{"date-parts":[["2017"]]},"page":"1681-1687","publisher":"Taylor &amp; Francis","title":"Disease burden of community acquired pneumonia among children under 5 y old in China: A population based survey","type":"article-journal","volume":"13"},"uris":["http://www.mendeley.com/documents/?uuid=4460ffed-0d1d-4e8e-a3eb-2c2f637ee1d7"]}],"mendeley":{"formattedCitation":"(Li &lt;i&gt;et al.&lt;/i&gt;, 2017)","manualFormatting":" Li et al. (2017)","plainTextFormattedCitation":"(Li et al., 2017)","previouslyFormattedCitation":"(Li &lt;i&gt;et al.&lt;/i&gt;, 2017)"},"properties":{"noteIndex":0},"schema":"https://github.com/citation-style-language/schema/raw/master/csl-citation.json"}</w:instrText>
      </w:r>
      <w:r w:rsidR="00565304">
        <w:rPr>
          <w:rFonts w:cs="Times New Roman"/>
          <w:szCs w:val="24"/>
        </w:rPr>
        <w:fldChar w:fldCharType="separate"/>
      </w:r>
      <w:r w:rsidR="00565304">
        <w:rPr>
          <w:rFonts w:cs="Times New Roman"/>
          <w:noProof/>
          <w:szCs w:val="24"/>
        </w:rPr>
        <w:t xml:space="preserve"> Li </w:t>
      </w:r>
      <w:r w:rsidR="00565304" w:rsidRPr="00E97FAF">
        <w:rPr>
          <w:rFonts w:cs="Times New Roman"/>
          <w:i/>
          <w:iCs/>
          <w:noProof/>
          <w:szCs w:val="24"/>
        </w:rPr>
        <w:t xml:space="preserve">et al. </w:t>
      </w:r>
      <w:r w:rsidR="00565304">
        <w:rPr>
          <w:rFonts w:cs="Times New Roman"/>
          <w:noProof/>
          <w:szCs w:val="24"/>
        </w:rPr>
        <w:t>(2017)</w:t>
      </w:r>
      <w:r w:rsidR="00565304">
        <w:rPr>
          <w:rFonts w:cs="Times New Roman"/>
          <w:szCs w:val="24"/>
        </w:rPr>
        <w:fldChar w:fldCharType="end"/>
      </w:r>
      <w:r w:rsidR="00565304">
        <w:rPr>
          <w:rFonts w:cs="Times New Roman"/>
          <w:szCs w:val="24"/>
        </w:rPr>
        <w:t xml:space="preserve"> and </w:t>
      </w:r>
      <w:r w:rsidR="00565304">
        <w:rPr>
          <w:rFonts w:cs="Times New Roman"/>
          <w:szCs w:val="24"/>
        </w:rPr>
        <w:fldChar w:fldCharType="begin" w:fldLock="1"/>
      </w:r>
      <w:r w:rsidR="00F417F3">
        <w:rPr>
          <w:rFonts w:cs="Times New Roman"/>
          <w:szCs w:val="24"/>
        </w:rPr>
        <w:instrText>ADDIN CSL_CITATION {"citationItems":[{"id":"ITEM-1","itemData":{"author":[{"dropping-particle":"","family":"Lu","given":"Yi","non-dropping-particle":"","parse-names":false,"suffix":""},{"dropping-particle":"","family":"Yang","given":"Daxing","non-dropping-particle":"","parse-names":false,"suffix":""},{"dropping-particle":"","family":"Qi","given":"Yu","non-dropping-particle":"","parse-names":false,"suffix":""}],"container-title":"China Health Industry","id":"ITEM-1","issued":{"date-parts":[["2019"]]},"page":"3-7","title":"Analysis of the Burden of Respiratory Diseases in China","type":"article-journal","volume":"20"},"uris":["http://www.mendeley.com/documents/?uuid=59cc2445-f794-468b-87e8-0a101493498f"]}],"mendeley":{"formattedCitation":"(Lu, Yang and Qi, 2019)","manualFormatting":"Lu et al. (2019)","plainTextFormattedCitation":"(Lu, Yang and Qi, 2019)","previouslyFormattedCitation":"(Lu, Yang and Qi, 2019)"},"properties":{"noteIndex":0},"schema":"https://github.com/citation-style-language/schema/raw/master/csl-citation.json"}</w:instrText>
      </w:r>
      <w:r w:rsidR="00565304">
        <w:rPr>
          <w:rFonts w:cs="Times New Roman"/>
          <w:szCs w:val="24"/>
        </w:rPr>
        <w:fldChar w:fldCharType="separate"/>
      </w:r>
      <w:r w:rsidR="00565304">
        <w:rPr>
          <w:rFonts w:cs="Times New Roman"/>
          <w:noProof/>
          <w:szCs w:val="24"/>
        </w:rPr>
        <w:t>Lu</w:t>
      </w:r>
      <w:r w:rsidR="00565304" w:rsidRPr="00E97FAF">
        <w:rPr>
          <w:rFonts w:cs="Times New Roman"/>
          <w:i/>
          <w:iCs/>
          <w:noProof/>
          <w:szCs w:val="24"/>
        </w:rPr>
        <w:t xml:space="preserve"> et al.</w:t>
      </w:r>
      <w:r w:rsidR="00565304">
        <w:rPr>
          <w:rFonts w:cs="Times New Roman"/>
          <w:noProof/>
          <w:szCs w:val="24"/>
        </w:rPr>
        <w:t xml:space="preserve"> (2019)</w:t>
      </w:r>
      <w:r w:rsidR="00565304">
        <w:rPr>
          <w:rFonts w:cs="Times New Roman"/>
          <w:szCs w:val="24"/>
        </w:rPr>
        <w:fldChar w:fldCharType="end"/>
      </w:r>
      <w:r w:rsidR="00565304">
        <w:rPr>
          <w:rFonts w:cs="Times New Roman"/>
          <w:szCs w:val="24"/>
        </w:rPr>
        <w:t xml:space="preserve">, the hospitalization rate of pneumonia among children in China is around 1.3%. Therefore, assuming </w:t>
      </w:r>
      <w:r w:rsidR="00775F1E">
        <w:rPr>
          <w:rFonts w:cs="Times New Roman"/>
          <w:szCs w:val="24"/>
        </w:rPr>
        <w:t xml:space="preserve">that </w:t>
      </w:r>
      <w:r w:rsidR="00565304">
        <w:rPr>
          <w:rFonts w:cs="Times New Roman"/>
          <w:szCs w:val="24"/>
        </w:rPr>
        <w:t xml:space="preserve">the drug cost for </w:t>
      </w:r>
      <w:r w:rsidR="00775F1E">
        <w:rPr>
          <w:rFonts w:cs="Times New Roman"/>
          <w:szCs w:val="24"/>
        </w:rPr>
        <w:t xml:space="preserve">common </w:t>
      </w:r>
      <w:r w:rsidR="00775F1E" w:rsidRPr="00775F1E">
        <w:rPr>
          <w:rFonts w:cs="Times New Roman"/>
          <w:szCs w:val="24"/>
        </w:rPr>
        <w:t>respiratory</w:t>
      </w:r>
      <w:r w:rsidR="00775F1E">
        <w:rPr>
          <w:rFonts w:cs="Times New Roman"/>
          <w:szCs w:val="24"/>
        </w:rPr>
        <w:t xml:space="preserve"> </w:t>
      </w:r>
      <w:r w:rsidR="00565304">
        <w:rPr>
          <w:rFonts w:cs="Times New Roman"/>
          <w:szCs w:val="24"/>
        </w:rPr>
        <w:t xml:space="preserve">infection </w:t>
      </w:r>
      <w:r w:rsidR="00775F1E">
        <w:rPr>
          <w:rFonts w:cs="Times New Roman"/>
          <w:szCs w:val="24"/>
        </w:rPr>
        <w:t>is</w:t>
      </w:r>
      <w:r w:rsidR="00C132A2">
        <w:rPr>
          <w:rFonts w:cs="Times New Roman"/>
          <w:szCs w:val="24"/>
        </w:rPr>
        <w:t xml:space="preserve"> </w:t>
      </w:r>
      <w:r w:rsidR="00565304">
        <w:rPr>
          <w:rFonts w:cs="Times New Roman"/>
          <w:szCs w:val="24"/>
        </w:rPr>
        <w:t>500 CNY (77.5 USD)</w:t>
      </w:r>
      <w:r w:rsidR="00C132A2">
        <w:rPr>
          <w:rFonts w:cs="Times New Roman"/>
          <w:szCs w:val="24"/>
        </w:rPr>
        <w:t>,</w:t>
      </w:r>
      <w:r w:rsidR="00565304">
        <w:rPr>
          <w:rFonts w:cs="Times New Roman"/>
          <w:szCs w:val="24"/>
        </w:rPr>
        <w:t xml:space="preserve"> </w:t>
      </w:r>
      <w:r w:rsidR="00775F1E">
        <w:rPr>
          <w:rFonts w:cs="Times New Roman"/>
          <w:szCs w:val="24"/>
        </w:rPr>
        <w:t xml:space="preserve">which is </w:t>
      </w:r>
      <w:r w:rsidR="00565304">
        <w:rPr>
          <w:rFonts w:cs="Times New Roman"/>
          <w:szCs w:val="24"/>
        </w:rPr>
        <w:t xml:space="preserve">based on </w:t>
      </w:r>
      <w:r w:rsidR="00317D1B">
        <w:rPr>
          <w:rFonts w:cs="Times New Roman"/>
          <w:szCs w:val="24"/>
        </w:rPr>
        <w:t xml:space="preserve">the practitioners’ </w:t>
      </w:r>
      <w:r w:rsidR="00565304">
        <w:rPr>
          <w:rFonts w:cs="Times New Roman"/>
          <w:szCs w:val="24"/>
        </w:rPr>
        <w:t xml:space="preserve">assumption, we estimated the pneumonia cost </w:t>
      </w:r>
      <w:r w:rsidR="00775F1E">
        <w:rPr>
          <w:rFonts w:cs="Times New Roman"/>
          <w:szCs w:val="24"/>
        </w:rPr>
        <w:t xml:space="preserve">to </w:t>
      </w:r>
      <w:r w:rsidR="00565304">
        <w:rPr>
          <w:rFonts w:cs="Times New Roman"/>
          <w:szCs w:val="24"/>
        </w:rPr>
        <w:t xml:space="preserve">be 592.79 CNY </w:t>
      </w:r>
      <w:r w:rsidR="00565304">
        <w:rPr>
          <w:rFonts w:cs="Times New Roman"/>
          <w:szCs w:val="24"/>
        </w:rPr>
        <w:lastRenderedPageBreak/>
        <w:t xml:space="preserve">(91.89 USD) per capita.  </w:t>
      </w:r>
    </w:p>
    <w:p w14:paraId="3E88E2D7" w14:textId="020C0C49" w:rsidR="00035381" w:rsidRDefault="00565304">
      <w:pPr>
        <w:ind w:firstLineChars="100" w:firstLine="240"/>
        <w:rPr>
          <w:rFonts w:cs="Times New Roman"/>
          <w:szCs w:val="24"/>
        </w:rPr>
      </w:pPr>
      <w:r>
        <w:rPr>
          <w:rFonts w:cs="Times New Roman"/>
          <w:szCs w:val="24"/>
        </w:rPr>
        <w:t xml:space="preserve">The average cost of </w:t>
      </w:r>
      <w:r w:rsidR="00775F1E">
        <w:rPr>
          <w:rFonts w:cs="Times New Roman"/>
          <w:szCs w:val="24"/>
        </w:rPr>
        <w:t xml:space="preserve">the </w:t>
      </w:r>
      <w:r w:rsidR="008826A0">
        <w:rPr>
          <w:rFonts w:cs="Times New Roman"/>
          <w:szCs w:val="24"/>
        </w:rPr>
        <w:t>IDA</w:t>
      </w:r>
      <w:r>
        <w:rPr>
          <w:rFonts w:cs="Times New Roman"/>
          <w:szCs w:val="24"/>
        </w:rPr>
        <w:t xml:space="preserve"> is calculated according to the price and related information of a common drug for </w:t>
      </w:r>
      <w:r w:rsidR="00C132A2">
        <w:rPr>
          <w:rFonts w:cs="Times New Roman"/>
          <w:szCs w:val="24"/>
        </w:rPr>
        <w:t xml:space="preserve">treating </w:t>
      </w:r>
      <w:r>
        <w:rPr>
          <w:rFonts w:cs="Times New Roman"/>
          <w:szCs w:val="24"/>
        </w:rPr>
        <w:t>anemia</w:t>
      </w:r>
      <w:r w:rsidR="00C132A2">
        <w:rPr>
          <w:rFonts w:cs="Times New Roman"/>
          <w:szCs w:val="24"/>
        </w:rPr>
        <w:t xml:space="preserve">, </w:t>
      </w:r>
      <w:r>
        <w:rPr>
          <w:rFonts w:cs="Times New Roman"/>
          <w:szCs w:val="24"/>
        </w:rPr>
        <w:t xml:space="preserve">derived from online drug information (http://www.china-yao.com/), in which the national average cost </w:t>
      </w:r>
      <w:r w:rsidR="00775F1E">
        <w:rPr>
          <w:rFonts w:cs="Times New Roman"/>
          <w:szCs w:val="24"/>
        </w:rPr>
        <w:t>of</w:t>
      </w:r>
      <w:r w:rsidR="00775F1E">
        <w:rPr>
          <w:rFonts w:cs="Times New Roman"/>
        </w:rPr>
        <w:t xml:space="preserve"> </w:t>
      </w:r>
      <w:r w:rsidR="00775F1E">
        <w:rPr>
          <w:rFonts w:cs="Times New Roman"/>
          <w:szCs w:val="24"/>
        </w:rPr>
        <w:t>i</w:t>
      </w:r>
      <w:r>
        <w:rPr>
          <w:rFonts w:cs="Times New Roman"/>
          <w:szCs w:val="24"/>
        </w:rPr>
        <w:t xml:space="preserve">ron </w:t>
      </w:r>
      <w:r w:rsidR="00775F1E">
        <w:rPr>
          <w:rFonts w:cs="Times New Roman"/>
          <w:szCs w:val="24"/>
        </w:rPr>
        <w:t>p</w:t>
      </w:r>
      <w:r>
        <w:rPr>
          <w:rFonts w:cs="Times New Roman"/>
          <w:szCs w:val="24"/>
        </w:rPr>
        <w:t xml:space="preserve">olysaccharide </w:t>
      </w:r>
      <w:r w:rsidR="00775F1E">
        <w:rPr>
          <w:rFonts w:cs="Times New Roman"/>
          <w:szCs w:val="24"/>
        </w:rPr>
        <w:t>c</w:t>
      </w:r>
      <w:r>
        <w:rPr>
          <w:rFonts w:cs="Times New Roman"/>
          <w:szCs w:val="24"/>
        </w:rPr>
        <w:t xml:space="preserve">omplex </w:t>
      </w:r>
      <w:r w:rsidR="00775F1E">
        <w:rPr>
          <w:rFonts w:cs="Times New Roman"/>
          <w:szCs w:val="24"/>
        </w:rPr>
        <w:t>c</w:t>
      </w:r>
      <w:r>
        <w:rPr>
          <w:rFonts w:cs="Times New Roman"/>
          <w:szCs w:val="24"/>
        </w:rPr>
        <w:t xml:space="preserve">apsules </w:t>
      </w:r>
      <w:r w:rsidR="00775F1E">
        <w:rPr>
          <w:rFonts w:cs="Times New Roman"/>
          <w:szCs w:val="24"/>
        </w:rPr>
        <w:t xml:space="preserve">is </w:t>
      </w:r>
      <w:r>
        <w:rPr>
          <w:rFonts w:cs="Times New Roman"/>
          <w:szCs w:val="24"/>
        </w:rPr>
        <w:t>3.5 CNY (0.54 USD) per capsule. Since the dose for children is one capsule per day for three months, we estimate</w:t>
      </w:r>
      <w:r w:rsidR="00997198">
        <w:rPr>
          <w:rFonts w:cs="Times New Roman"/>
          <w:szCs w:val="24"/>
        </w:rPr>
        <w:t>d</w:t>
      </w:r>
      <w:r>
        <w:rPr>
          <w:rFonts w:cs="Times New Roman"/>
          <w:szCs w:val="24"/>
        </w:rPr>
        <w:t xml:space="preserve"> that the annual cost of </w:t>
      </w:r>
      <w:r w:rsidR="003A0C76">
        <w:rPr>
          <w:rFonts w:cs="Times New Roman"/>
          <w:szCs w:val="24"/>
        </w:rPr>
        <w:t xml:space="preserve">persistent </w:t>
      </w:r>
      <w:r w:rsidR="008826A0">
        <w:rPr>
          <w:rFonts w:cs="Times New Roman"/>
          <w:szCs w:val="24"/>
        </w:rPr>
        <w:t>IDA</w:t>
      </w:r>
      <w:r w:rsidR="005C4B20">
        <w:rPr>
          <w:rFonts w:cs="Times New Roman"/>
          <w:szCs w:val="24"/>
        </w:rPr>
        <w:t xml:space="preserve"> </w:t>
      </w:r>
      <w:r>
        <w:rPr>
          <w:rFonts w:cs="Times New Roman"/>
          <w:szCs w:val="24"/>
        </w:rPr>
        <w:t xml:space="preserve">caused by excessive zinc intake is 323.9 CNY (50.2 USD) per capita. </w:t>
      </w:r>
      <w:r w:rsidR="00775F1E" w:rsidRPr="00775F1E">
        <w:rPr>
          <w:rFonts w:cs="Times New Roman"/>
          <w:szCs w:val="24"/>
        </w:rPr>
        <w:t>Due to a lack of comparable data, these expenses also do not reflect the expenditures to the</w:t>
      </w:r>
      <w:r w:rsidR="00775F1E">
        <w:rPr>
          <w:rFonts w:cs="Times New Roman"/>
          <w:szCs w:val="24"/>
        </w:rPr>
        <w:t xml:space="preserve"> whole</w:t>
      </w:r>
      <w:r w:rsidR="00775F1E" w:rsidRPr="00775F1E">
        <w:rPr>
          <w:rFonts w:cs="Times New Roman"/>
          <w:szCs w:val="24"/>
        </w:rPr>
        <w:t xml:space="preserve"> healthcare system</w:t>
      </w:r>
      <w:r>
        <w:rPr>
          <w:rFonts w:cs="Times New Roman"/>
          <w:szCs w:val="24"/>
        </w:rPr>
        <w:t xml:space="preserve">. </w:t>
      </w:r>
    </w:p>
    <w:p w14:paraId="3E88E2D8" w14:textId="3E6DFB41" w:rsidR="00035381" w:rsidRDefault="00565304">
      <w:pPr>
        <w:ind w:firstLineChars="100" w:firstLine="240"/>
        <w:rPr>
          <w:rFonts w:cs="Times New Roman"/>
          <w:szCs w:val="24"/>
        </w:rPr>
      </w:pPr>
      <w:r w:rsidRPr="00C132A2">
        <w:rPr>
          <w:rFonts w:cs="Times New Roman"/>
          <w:szCs w:val="24"/>
        </w:rPr>
        <w:t xml:space="preserve">The cost of biofortification </w:t>
      </w:r>
      <w:r w:rsidR="00775F1E">
        <w:rPr>
          <w:rFonts w:cs="Times New Roman"/>
          <w:szCs w:val="24"/>
        </w:rPr>
        <w:t>through</w:t>
      </w:r>
      <w:r w:rsidR="00775F1E" w:rsidRPr="00C132A2">
        <w:rPr>
          <w:rFonts w:cs="Times New Roman"/>
          <w:szCs w:val="24"/>
        </w:rPr>
        <w:t xml:space="preserve"> </w:t>
      </w:r>
      <w:r w:rsidRPr="00C132A2">
        <w:rPr>
          <w:rFonts w:cs="Times New Roman"/>
          <w:szCs w:val="24"/>
        </w:rPr>
        <w:t xml:space="preserve">breeding techniques is evaluated based on the studies conducted by </w:t>
      </w:r>
      <w:r w:rsidRPr="00C132A2">
        <w:rPr>
          <w:rFonts w:cs="Times New Roman"/>
          <w:szCs w:val="24"/>
        </w:rPr>
        <w:fldChar w:fldCharType="begin" w:fldLock="1"/>
      </w:r>
      <w:r w:rsidR="00014E8C">
        <w:rPr>
          <w:rFonts w:cs="Times New Roman"/>
          <w:szCs w:val="24"/>
        </w:rPr>
        <w:instrText>ADDIN CSL_CITATION {"citationItems":[{"id":"ITEM-1","itemData":{"DOI":"10.1016/j.nbt.2011.11.012","ISSN":"18716784","PMID":"22154941","abstract":"Biofortification, that is, improving the micronutrient content of staple foods through crop breeding, could be a pro-poor, pro-rural, agriculture-based intervention to reduce the health burden of micronutrient malnutrition. While the potential cost-effectiveness of crops biofortified with single micronutrients was shown in previous research, poor people often suffer from multiple micronutrient deficiencies, which should be accounted for in biofortification initiatives. This study is the first to estimate the potential health benefits and cost-effectiveness of multi-biofortification. Rice with enhanced provitamin A, zinc, iron and folate concentrations is used as a concrete example. The research is conducted for China, the largest rice producer in the world, where micronutrient malnutrition remains a major public health problem. Using the DALY (disability-adjusted life year) framework, the current annual health burden of the four micronutrient deficiencies in China is estimated at 10.6 million DALYs. Introducing multi-biofortified rice could lower this burden by up to 46%. Given the large positive health impact and low recurrent costs of multi-biofortification, this intervention could be very cost effective: under optimistic assumptions, the cost per DALY saved would be around US$ 2; it would stay below US$ 10 even under pessimistic assumptions. © 2011 Elsevier B.V.","author":[{"dropping-particle":"","family":"Steur","given":"Hans","non-dropping-particle":"De","parse-names":false,"suffix":""},{"dropping-particle":"","family":"Gellynck","given":"Xavier","non-dropping-particle":"","parse-names":false,"suffix":""},{"dropping-particle":"","family":"Blancquaert","given":"Dieter","non-dropping-particle":"","parse-names":false,"suffix":""},{"dropping-particle":"","family":"Lambert","given":"Willy","non-dropping-particle":"","parse-names":false,"suffix":""},{"dropping-particle":"","family":"Straeten","given":"Dominique","non-dropping-particle":"van der","parse-names":false,"suffix":""},{"dropping-particle":"","family":"Qaim","given":"Matin","non-dropping-particle":"","parse-names":false,"suffix":""}],"container-title":"New Biotechnology","id":"ITEM-1","issue":"3","issued":{"date-parts":[["2012"]]},"page":"432-442","publisher":"Elsevier B.V.","title":"Potential impact and cost-effectiveness of multi-biofortified rice in China","type":"article-journal","volume":"29"},"uris":["http://www.mendeley.com/documents/?uuid=fadd761e-24b8-4808-94c7-dd9459d40ea0"]}],"mendeley":{"formattedCitation":"(De Steur, Gellynck, Blancquaert, Lambert, van der Straeten, &lt;i&gt;et al.&lt;/i&gt;, 2012)","manualFormatting":"De Steur et al. (2012)","plainTextFormattedCitation":"(De Steur, Gellynck, Blancquaert, Lambert, van der Straeten, et al., 2012)","previouslyFormattedCitation":"(De Steur, Gellynck, Blancquaert, Lambert, van der Straeten, &lt;i&gt;et al.&lt;/i&gt;, 2012)"},"properties":{"noteIndex":0},"schema":"https://github.com/citation-style-language/schema/raw/master/csl-citation.json"}</w:instrText>
      </w:r>
      <w:r w:rsidRPr="00C132A2">
        <w:rPr>
          <w:rFonts w:cs="Times New Roman"/>
          <w:szCs w:val="24"/>
        </w:rPr>
        <w:fldChar w:fldCharType="separate"/>
      </w:r>
      <w:r w:rsidRPr="00F55927">
        <w:rPr>
          <w:rFonts w:cs="Times New Roman"/>
          <w:noProof/>
          <w:szCs w:val="24"/>
          <w:lang w:val="nl-BE"/>
        </w:rPr>
        <w:t>De Steur et al. (2012)</w:t>
      </w:r>
      <w:r w:rsidRPr="00C132A2">
        <w:rPr>
          <w:rFonts w:cs="Times New Roman"/>
          <w:szCs w:val="24"/>
        </w:rPr>
        <w:fldChar w:fldCharType="end"/>
      </w:r>
      <w:r w:rsidRPr="00F55927">
        <w:rPr>
          <w:rFonts w:cs="Times New Roman"/>
          <w:szCs w:val="24"/>
          <w:lang w:val="nl-BE"/>
        </w:rPr>
        <w:t>,</w:t>
      </w:r>
      <w:r w:rsidR="001A20B6" w:rsidRPr="00C132A2">
        <w:rPr>
          <w:rFonts w:cs="Times New Roman"/>
          <w:szCs w:val="24"/>
        </w:rPr>
        <w:fldChar w:fldCharType="begin" w:fldLock="1"/>
      </w:r>
      <w:r w:rsidR="001A20B6" w:rsidRPr="00F55927">
        <w:rPr>
          <w:rFonts w:cs="Times New Roman"/>
          <w:szCs w:val="24"/>
          <w:lang w:val="nl-BE"/>
        </w:rPr>
        <w:instrText>ADDIN CSL_CITATION {"citationItems":[{"id":"ITEM-1","itemData":{"author":[{"dropping-particle":"","family":"Li","given":"Luping","non-dropping-particle":"","parse-names":false,"suffix":""},{"dropping-particle":"","family":"Zhang","given":"Jinlei","non-dropping-particle":"","parse-names":false,"suffix":""}],"container-title":"Current Biotechnology( in Chinese)","id":"ITEM-1","issue":"6","issued":{"date-parts":[["2016"]]},"page":"414-421","title":"The Cost-benefit and Cost-effectiveness of HarvestPlus-China Program: an Ex-ante Analysis of Biofortified Iron-rich Wheat in China","type":"article-journal","volume":"6"},"uris":["http://www.mendeley.com/documents/?uuid=d13d270c-af4c-4620-83bf-b467e2e854fe"]},{"id":"ITEM-2","itemData":{"author":[{"dropping-particle":"","family":"Liao","given":"Fen","non-dropping-particle":"","parse-names":false,"suffix":""}],"id":"ITEM-2","issued":{"date-parts":[["2020"]]},"publisher":"Huazhong Agricultural University","title":"Study on the Economic Evaluation of Biofortification Agricultural Products to Improve the Nutritional Health of the Population","type":"thesis"},"uris":["http://www.mendeley.com/documents/?uuid=b08c68c2-5596-4449-92dc-bfed5da5ae8f"]}],"mendeley":{"formattedCitation":"(Li and Zhang, 2016; Liao, 2020)","manualFormatting":" Li and Zhang (2016) and Liao (2020)","plainTextFormattedCitation":"(Li and Zhang, 2016; Liao, 2020)","previouslyFormattedCitation":"(Li and Zhang, 2016; Liao, 2020)"},"properties":{"noteIndex":0},"schema":"https://github.com/citation-style-language/schema/raw/master/csl-citation.json"}</w:instrText>
      </w:r>
      <w:r w:rsidR="001A20B6" w:rsidRPr="00C132A2">
        <w:rPr>
          <w:rFonts w:cs="Times New Roman"/>
          <w:szCs w:val="24"/>
        </w:rPr>
        <w:fldChar w:fldCharType="separate"/>
      </w:r>
      <w:r w:rsidR="001A20B6" w:rsidRPr="00F55927">
        <w:rPr>
          <w:rFonts w:cs="Times New Roman"/>
          <w:noProof/>
          <w:szCs w:val="24"/>
          <w:lang w:val="nl-BE"/>
        </w:rPr>
        <w:t xml:space="preserve"> Li and Zhang (2016) and Liao (2020)</w:t>
      </w:r>
      <w:r w:rsidR="001A20B6" w:rsidRPr="00C132A2">
        <w:rPr>
          <w:rFonts w:cs="Times New Roman"/>
          <w:szCs w:val="24"/>
        </w:rPr>
        <w:fldChar w:fldCharType="end"/>
      </w:r>
      <w:r w:rsidRPr="00F55927">
        <w:rPr>
          <w:rFonts w:cs="Times New Roman"/>
          <w:szCs w:val="24"/>
          <w:lang w:val="nl-BE"/>
        </w:rPr>
        <w:t>. The cost</w:t>
      </w:r>
      <w:r w:rsidR="00775F1E">
        <w:rPr>
          <w:rFonts w:cs="Times New Roman"/>
          <w:szCs w:val="24"/>
          <w:lang w:val="nl-BE"/>
        </w:rPr>
        <w:t>s</w:t>
      </w:r>
      <w:r w:rsidRPr="00F55927">
        <w:rPr>
          <w:rFonts w:cs="Times New Roman"/>
          <w:szCs w:val="24"/>
          <w:lang w:val="nl-BE"/>
        </w:rPr>
        <w:t xml:space="preserve"> consist of initial research and development costs and the ongoing cost</w:t>
      </w:r>
      <w:r w:rsidR="00775F1E">
        <w:rPr>
          <w:rFonts w:cs="Times New Roman"/>
          <w:szCs w:val="24"/>
          <w:lang w:val="nl-BE"/>
        </w:rPr>
        <w:t>s</w:t>
      </w:r>
      <w:r w:rsidRPr="00F55927">
        <w:rPr>
          <w:rFonts w:cs="Times New Roman"/>
          <w:szCs w:val="24"/>
          <w:lang w:val="nl-BE"/>
        </w:rPr>
        <w:t xml:space="preserve"> </w:t>
      </w:r>
      <w:r w:rsidR="00775F1E">
        <w:rPr>
          <w:rFonts w:cs="Times New Roman"/>
          <w:szCs w:val="24"/>
          <w:lang w:val="nl-BE"/>
        </w:rPr>
        <w:t>of</w:t>
      </w:r>
      <w:r w:rsidR="00775F1E" w:rsidRPr="00F55927">
        <w:rPr>
          <w:rFonts w:cs="Times New Roman"/>
          <w:szCs w:val="24"/>
          <w:lang w:val="nl-BE"/>
        </w:rPr>
        <w:t xml:space="preserve"> </w:t>
      </w:r>
      <w:r w:rsidR="001115CE">
        <w:rPr>
          <w:rFonts w:cs="Times New Roman"/>
          <w:szCs w:val="24"/>
          <w:lang w:val="nl-BE"/>
        </w:rPr>
        <w:t xml:space="preserve">variety </w:t>
      </w:r>
      <w:r w:rsidR="00775F1E">
        <w:rPr>
          <w:rFonts w:cs="Times New Roman"/>
          <w:szCs w:val="24"/>
          <w:lang w:val="nl-BE"/>
        </w:rPr>
        <w:t>extension</w:t>
      </w:r>
      <w:r w:rsidRPr="00F55927">
        <w:rPr>
          <w:rFonts w:cs="Times New Roman"/>
          <w:szCs w:val="24"/>
          <w:lang w:val="nl-BE"/>
        </w:rPr>
        <w:t xml:space="preserve">, maintenance, and government regulation. </w:t>
      </w:r>
      <w:r w:rsidRPr="00C132A2">
        <w:rPr>
          <w:rFonts w:cs="Times New Roman"/>
          <w:szCs w:val="24"/>
        </w:rPr>
        <w:t xml:space="preserve">The commercialization of biofortified crops in China mainly go through three stages, </w:t>
      </w:r>
      <w:r w:rsidR="001115CE">
        <w:rPr>
          <w:rFonts w:cs="Times New Roman"/>
          <w:szCs w:val="24"/>
        </w:rPr>
        <w:t>namely</w:t>
      </w:r>
      <w:r w:rsidRPr="00C132A2">
        <w:rPr>
          <w:rFonts w:cs="Times New Roman"/>
          <w:szCs w:val="24"/>
        </w:rPr>
        <w:t xml:space="preserve">, cultivation, </w:t>
      </w:r>
      <w:r w:rsidR="001115CE">
        <w:rPr>
          <w:rFonts w:cs="Times New Roman"/>
          <w:szCs w:val="24"/>
        </w:rPr>
        <w:t>extension</w:t>
      </w:r>
      <w:r w:rsidRPr="00C132A2">
        <w:rPr>
          <w:rFonts w:cs="Times New Roman"/>
          <w:szCs w:val="24"/>
        </w:rPr>
        <w:t xml:space="preserve">, and maintenance. In the cultivation stage, capital investment is </w:t>
      </w:r>
      <w:r w:rsidR="001115CE">
        <w:rPr>
          <w:rFonts w:cs="Times New Roman"/>
          <w:szCs w:val="24"/>
        </w:rPr>
        <w:t>needed</w:t>
      </w:r>
      <w:r w:rsidR="001115CE" w:rsidRPr="00C132A2">
        <w:rPr>
          <w:rFonts w:cs="Times New Roman"/>
          <w:szCs w:val="24"/>
        </w:rPr>
        <w:t xml:space="preserve"> </w:t>
      </w:r>
      <w:r w:rsidRPr="00C132A2">
        <w:rPr>
          <w:rFonts w:cs="Times New Roman"/>
          <w:szCs w:val="24"/>
        </w:rPr>
        <w:t>to support the research and development of biofortified crops. It is reported that the cost of cultivating a new biofortified variety in China would be approximately 1,760,000</w:t>
      </w:r>
      <w:r>
        <w:rPr>
          <w:rFonts w:cs="Times New Roman"/>
          <w:szCs w:val="24"/>
        </w:rPr>
        <w:t xml:space="preserve"> CNY (272,817.5 USD). The </w:t>
      </w:r>
      <w:r w:rsidR="001115CE">
        <w:rPr>
          <w:rFonts w:cs="Times New Roman"/>
          <w:szCs w:val="24"/>
        </w:rPr>
        <w:t xml:space="preserve">extension </w:t>
      </w:r>
      <w:r>
        <w:rPr>
          <w:rFonts w:cs="Times New Roman"/>
          <w:szCs w:val="24"/>
        </w:rPr>
        <w:t xml:space="preserve">cost </w:t>
      </w:r>
      <w:r w:rsidR="001115CE">
        <w:rPr>
          <w:rFonts w:cs="Times New Roman"/>
          <w:szCs w:val="24"/>
        </w:rPr>
        <w:t>is reported to be</w:t>
      </w:r>
      <w:r>
        <w:rPr>
          <w:rFonts w:cs="Times New Roman"/>
          <w:szCs w:val="24"/>
        </w:rPr>
        <w:t xml:space="preserve"> around 45-60 CNY (6.98-9.3 USD) per acre per year. And the </w:t>
      </w:r>
      <w:r w:rsidR="001115CE">
        <w:rPr>
          <w:rFonts w:cs="Times New Roman"/>
          <w:szCs w:val="24"/>
        </w:rPr>
        <w:t xml:space="preserve">extension </w:t>
      </w:r>
      <w:r>
        <w:rPr>
          <w:rFonts w:cs="Times New Roman"/>
          <w:szCs w:val="24"/>
        </w:rPr>
        <w:t xml:space="preserve">duration would be approximately 4-6 years. Therefore, </w:t>
      </w:r>
      <w:r w:rsidR="00F84250">
        <w:rPr>
          <w:rFonts w:cs="Times New Roman"/>
          <w:szCs w:val="24"/>
        </w:rPr>
        <w:t xml:space="preserve">with a 45% coverage rate and a </w:t>
      </w:r>
      <w:r>
        <w:rPr>
          <w:rFonts w:cs="Times New Roman"/>
          <w:szCs w:val="24"/>
        </w:rPr>
        <w:t xml:space="preserve">domestic </w:t>
      </w:r>
      <w:r w:rsidR="001115CE">
        <w:rPr>
          <w:rFonts w:cs="Times New Roman"/>
          <w:szCs w:val="24"/>
        </w:rPr>
        <w:t xml:space="preserve">wheats </w:t>
      </w:r>
      <w:r>
        <w:rPr>
          <w:rFonts w:cs="Times New Roman"/>
          <w:szCs w:val="24"/>
        </w:rPr>
        <w:t xml:space="preserve">plantation area </w:t>
      </w:r>
      <w:r w:rsidR="00F84250">
        <w:rPr>
          <w:rFonts w:cs="Times New Roman"/>
          <w:szCs w:val="24"/>
        </w:rPr>
        <w:t xml:space="preserve">of </w:t>
      </w:r>
      <w:r>
        <w:rPr>
          <w:rFonts w:cs="Times New Roman"/>
          <w:szCs w:val="24"/>
        </w:rPr>
        <w:t>22.91 million acres in 2021</w:t>
      </w:r>
      <w:r w:rsidR="009B7DA1">
        <w:rPr>
          <w:rFonts w:cs="Times New Roman"/>
          <w:szCs w:val="24"/>
        </w:rPr>
        <w:t xml:space="preserve">, </w:t>
      </w:r>
      <w:r>
        <w:rPr>
          <w:rFonts w:cs="Times New Roman"/>
          <w:szCs w:val="24"/>
        </w:rPr>
        <w:t>the average total cost</w:t>
      </w:r>
      <w:r w:rsidR="00752329">
        <w:rPr>
          <w:rFonts w:cs="Times New Roman"/>
          <w:szCs w:val="24"/>
        </w:rPr>
        <w:t xml:space="preserve"> of extension</w:t>
      </w:r>
      <w:r>
        <w:rPr>
          <w:rFonts w:cs="Times New Roman"/>
          <w:szCs w:val="24"/>
        </w:rPr>
        <w:t xml:space="preserve"> would be </w:t>
      </w:r>
      <w:r w:rsidR="00F84250">
        <w:rPr>
          <w:rFonts w:cs="Times New Roman"/>
          <w:szCs w:val="24"/>
        </w:rPr>
        <w:t xml:space="preserve">close to </w:t>
      </w:r>
      <w:r w:rsidR="00752329">
        <w:rPr>
          <w:rFonts w:cs="Times New Roman"/>
          <w:szCs w:val="24"/>
        </w:rPr>
        <w:t>465</w:t>
      </w:r>
      <w:r>
        <w:rPr>
          <w:rFonts w:cs="Times New Roman"/>
          <w:szCs w:val="24"/>
        </w:rPr>
        <w:t xml:space="preserve"> million CNY (</w:t>
      </w:r>
      <w:r w:rsidR="00752329">
        <w:rPr>
          <w:rFonts w:cs="Times New Roman"/>
          <w:szCs w:val="24"/>
        </w:rPr>
        <w:t>72.1</w:t>
      </w:r>
      <w:r>
        <w:rPr>
          <w:rFonts w:cs="Times New Roman"/>
          <w:szCs w:val="24"/>
        </w:rPr>
        <w:t xml:space="preserve"> million USD). </w:t>
      </w:r>
      <w:r w:rsidR="00F45018">
        <w:rPr>
          <w:rFonts w:cs="Times New Roman"/>
          <w:szCs w:val="24"/>
        </w:rPr>
        <w:t>T</w:t>
      </w:r>
      <w:r>
        <w:rPr>
          <w:rFonts w:cs="Times New Roman"/>
          <w:szCs w:val="24"/>
        </w:rPr>
        <w:t>he maintenance duration for crops is about 20 years, with an annual maintenance cost of 5-10% of the cultivation cost. Therefore, the average yearly cost of biofortification with breeding techniques would be around 0.0</w:t>
      </w:r>
      <w:r w:rsidR="009B7DA1">
        <w:rPr>
          <w:rFonts w:cs="Times New Roman"/>
          <w:szCs w:val="24"/>
        </w:rPr>
        <w:t>1</w:t>
      </w:r>
      <w:r>
        <w:rPr>
          <w:rFonts w:cs="Times New Roman"/>
          <w:szCs w:val="24"/>
        </w:rPr>
        <w:t xml:space="preserve"> USD per capita. This estimation is consistent with the study conducted by </w:t>
      </w:r>
      <w:r>
        <w:rPr>
          <w:rFonts w:cs="Times New Roman"/>
          <w:szCs w:val="24"/>
        </w:rPr>
        <w:fldChar w:fldCharType="begin" w:fldLock="1"/>
      </w:r>
      <w:r w:rsidR="00F417F3">
        <w:rPr>
          <w:rFonts w:cs="Times New Roman"/>
          <w:szCs w:val="24"/>
        </w:rPr>
        <w:instrText>ADDIN CSL_CITATION {"citationItems":[{"id":"ITEM-1","itemData":{"DOI":"10.1017/S1368980007001085","ISBN":"1368980007","ISSN":"13689800","PMID":"17894916","abstract":"In order to prioritise interventions for micronutrient deficiencies in China, the populations affected by iron and zinc deficiencies were assessed based on data from the 2002 China National Nutrition and Health Survey. The costs and cost-effectiveness of supplementation, food diversification and food fortification were estimated using the standard World Health Organization ingredients approach. Results indicated that 30% of children (&lt;2 years), adults (&gt;60 years), pregnant and lactating women, and 20% of women of reproductive age were anaemic, some 245 million people. Approximately 100 million people were affected by zinc deficiency (zinc intake inadequacy and stunting), the majority living in rural areas. Among interventions on iron and zinc deficiency, biofortification showed the lowest costs per capita, I%0.01 (international dollars), while dietary diversification through health education represented the highest costs at I%1148. The cost-effectiveness of supplementation, food fortification and dietary diversification for iron deficiency alone was I%179, I%66 and I%103 per disability-adjusted life-year (DALY), respectively. Data for biofortification were not available. For zinc deficiency, the corresponding figures were I%399, I%153 and I%103 per DALY, respectively. In conclusion, iron and zinc deficiencies are of great public health concern in China. Of the two long-term intervention strategies, i.e. dietary diversification and biofortification with improved varieties, the latter is especially feasible and cost-effective for rural populations. Supplementation and fortification can be used as short-term strategies for specific groups. © The Authors 2007.","author":[{"dropping-particle":"","family":"Ma","given":"Guansheng","non-dropping-particle":"","parse-names":false,"suffix":""},{"dropping-particle":"","family":"Jin","given":"Ying","non-dropping-particle":"","parse-names":false,"suffix":""},{"dropping-particle":"","family":"Li","given":"Yanping","non-dropping-particle":"","parse-names":false,"suffix":""},{"dropping-particle":"","family":"Zhai","given":"Fengying","non-dropping-particle":"","parse-names":false,"suffix":""},{"dropping-particle":"","family":"Kok","given":"Frans J.","non-dropping-particle":"","parse-names":false,"suffix":""},{"dropping-particle":"","family":"Jacobsen","given":"Evert","non-dropping-particle":"","parse-names":false,"suffix":""},{"dropping-particle":"","family":"Yang","given":"Xiaoguang","non-dropping-particle":"","parse-names":false,"suffix":""}],"container-title":"Public Health Nutrition","id":"ITEM-1","issue":"6","issued":{"date-parts":[["2008"]]},"page":"632-638","title":"Iron and zinc deficiencies in China: What is a feasible and cost-effective strategy?","type":"article-journal","volume":"11"},"uris":["http://www.mendeley.com/documents/?uuid=17d310ba-beee-4d32-a0aa-87eaa67276db"]}],"mendeley":{"formattedCitation":"(Ma, Jin, Li, Zhai, Frans J. Kok, &lt;i&gt;et al.&lt;/i&gt;, 2008)","manualFormatting":"Ma et al. (2008)","plainTextFormattedCitation":"(Ma, Jin, Li, Zhai, Frans J. Kok, et al., 2008)","previouslyFormattedCitation":"(Ma, Jin, Li, Zhai, Frans J. Kok, &lt;i&gt;et al.&lt;/i&gt;, 2008)"},"properties":{"noteIndex":0},"schema":"https://github.com/citation-style-language/schema/raw/master/csl-citation.json"}</w:instrText>
      </w:r>
      <w:r>
        <w:rPr>
          <w:rFonts w:cs="Times New Roman"/>
          <w:szCs w:val="24"/>
        </w:rPr>
        <w:fldChar w:fldCharType="separate"/>
      </w:r>
      <w:r>
        <w:rPr>
          <w:rFonts w:cs="Times New Roman"/>
          <w:noProof/>
          <w:szCs w:val="24"/>
        </w:rPr>
        <w:t>Ma et al. (2008)</w:t>
      </w:r>
      <w:r>
        <w:rPr>
          <w:rFonts w:cs="Times New Roman"/>
          <w:szCs w:val="24"/>
        </w:rPr>
        <w:fldChar w:fldCharType="end"/>
      </w:r>
      <w:r w:rsidR="009B7DA1">
        <w:rPr>
          <w:rFonts w:cs="Times New Roman"/>
          <w:szCs w:val="24"/>
        </w:rPr>
        <w:t>.</w:t>
      </w:r>
    </w:p>
    <w:p w14:paraId="68603D50" w14:textId="03552DF5" w:rsidR="008753A9" w:rsidRDefault="00565304">
      <w:pPr>
        <w:ind w:firstLineChars="100" w:firstLine="240"/>
        <w:rPr>
          <w:rFonts w:cs="Times New Roman"/>
          <w:szCs w:val="24"/>
        </w:rPr>
      </w:pPr>
      <w:r>
        <w:rPr>
          <w:rFonts w:cs="Times New Roman"/>
          <w:szCs w:val="24"/>
        </w:rPr>
        <w:t xml:space="preserve">The cost </w:t>
      </w:r>
      <w:r w:rsidR="00F45018">
        <w:rPr>
          <w:rFonts w:cs="Times New Roman"/>
          <w:szCs w:val="24"/>
        </w:rPr>
        <w:t>of</w:t>
      </w:r>
      <w:r w:rsidR="00984085">
        <w:rPr>
          <w:rFonts w:cs="Times New Roman"/>
          <w:szCs w:val="24"/>
        </w:rPr>
        <w:t xml:space="preserve"> biofortification</w:t>
      </w:r>
      <w:r w:rsidR="00F45018">
        <w:rPr>
          <w:rFonts w:cs="Times New Roman"/>
          <w:szCs w:val="24"/>
        </w:rPr>
        <w:t xml:space="preserve"> </w:t>
      </w:r>
      <w:r w:rsidR="00984085">
        <w:rPr>
          <w:rFonts w:cs="Times New Roman"/>
          <w:szCs w:val="24"/>
        </w:rPr>
        <w:t>through</w:t>
      </w:r>
      <w:r w:rsidR="00F45018">
        <w:rPr>
          <w:rFonts w:cs="Times New Roman"/>
          <w:szCs w:val="24"/>
        </w:rPr>
        <w:t xml:space="preserve"> </w:t>
      </w:r>
      <w:r>
        <w:rPr>
          <w:rFonts w:cs="Times New Roman"/>
          <w:szCs w:val="24"/>
        </w:rPr>
        <w:t xml:space="preserve">agronomic approach is evaluated based on the fertilizer usage data from </w:t>
      </w:r>
      <w:r>
        <w:rPr>
          <w:rFonts w:cs="Times New Roman"/>
          <w:szCs w:val="24"/>
        </w:rPr>
        <w:fldChar w:fldCharType="begin" w:fldLock="1"/>
      </w:r>
      <w:r w:rsidR="00F417F3">
        <w:rPr>
          <w:rFonts w:cs="Times New Roman"/>
          <w:szCs w:val="24"/>
        </w:rPr>
        <w:instrText>ADDIN CSL_CITATION {"citationItems":[{"id":"ITEM-1","itemData":{"author":[{"dropping-particle":"","family":"Liu","given":"Xinbao","non-dropping-particle":"","parse-names":false,"suffix":""},{"dropping-particle":"","family":"Zhu","given":"Tianduo","non-dropping-particle":"","parse-names":false,"suffix":""},{"dropping-particle":"","family":"Yang","given":"Qing","non-dropping-particle":"","parse-names":false,"suffix":""},{"dropping-particle":"","family":"Li","given":"Chunhua","non-dropping-particle":"","parse-names":false,"suffix":""}],"container-title":"Soil and Fertilizer Sciences in China","id":"ITEM-1","issued":{"date-parts":[["2003"]]},"page":"3-6+9","title":"Residual Effect of Zinc Application on Crop yield, Zinc Concentration in Crop Grain and Soil Available Zinc","type":"article-journal","volume":"1"},"uris":["http://www.mendeley.com/documents/?uuid=b3e91302-b3e1-41d0-b631-69def500015c"]}],"mendeley":{"formattedCitation":"(Liu &lt;i&gt;et al.&lt;/i&gt;, 2003)","manualFormatting":"Liu et al. (2003)","plainTextFormattedCitation":"(Liu et al., 2003)","previouslyFormattedCitation":"(Liu &lt;i&gt;et al.&lt;/i&gt;, 2003)"},"properties":{"noteIndex":0},"schema":"https://github.com/citation-style-language/schema/raw/master/csl-citation.json"}</w:instrText>
      </w:r>
      <w:r>
        <w:rPr>
          <w:rFonts w:cs="Times New Roman"/>
          <w:szCs w:val="24"/>
        </w:rPr>
        <w:fldChar w:fldCharType="separate"/>
      </w:r>
      <w:r w:rsidR="00287326">
        <w:rPr>
          <w:rFonts w:cs="Times New Roman"/>
          <w:szCs w:val="24"/>
        </w:rPr>
        <w:t>Wang</w:t>
      </w:r>
      <w:r>
        <w:rPr>
          <w:rFonts w:cs="Times New Roman"/>
          <w:noProof/>
          <w:szCs w:val="24"/>
        </w:rPr>
        <w:t xml:space="preserve"> et al. (2003)</w:t>
      </w:r>
      <w:r>
        <w:rPr>
          <w:rFonts w:cs="Times New Roman"/>
          <w:szCs w:val="24"/>
        </w:rPr>
        <w:fldChar w:fldCharType="end"/>
      </w:r>
      <w:r>
        <w:rPr>
          <w:rFonts w:cs="Times New Roman"/>
          <w:szCs w:val="24"/>
        </w:rPr>
        <w:t xml:space="preserve"> and web-based price information (0.54 USD per kg for zinc sulfate heptahydrate as the most commonly applied zinc fertilizer). Given that an average of </w:t>
      </w:r>
      <w:r w:rsidR="00984085">
        <w:rPr>
          <w:rFonts w:cs="Times New Roman"/>
          <w:szCs w:val="24"/>
        </w:rPr>
        <w:t xml:space="preserve">about </w:t>
      </w:r>
      <w:r>
        <w:rPr>
          <w:rFonts w:cs="Times New Roman"/>
          <w:szCs w:val="24"/>
        </w:rPr>
        <w:t xml:space="preserve">30 kilograms per acre is </w:t>
      </w:r>
      <w:r w:rsidR="00984085">
        <w:rPr>
          <w:rFonts w:cs="Times New Roman"/>
          <w:szCs w:val="24"/>
        </w:rPr>
        <w:t>require</w:t>
      </w:r>
      <w:r>
        <w:rPr>
          <w:rFonts w:cs="Times New Roman"/>
          <w:szCs w:val="24"/>
        </w:rPr>
        <w:t xml:space="preserve">d to effectively </w:t>
      </w:r>
      <w:r w:rsidR="00984085">
        <w:rPr>
          <w:rFonts w:cs="Times New Roman"/>
          <w:szCs w:val="24"/>
        </w:rPr>
        <w:t xml:space="preserve">increase </w:t>
      </w:r>
      <w:r>
        <w:rPr>
          <w:rFonts w:cs="Times New Roman"/>
          <w:szCs w:val="24"/>
        </w:rPr>
        <w:t>soil available zinc to a high zinc level, the cost per acre would be approximately 16.28 USD. Based on the domestic wheat production and consumption data, the per capita</w:t>
      </w:r>
      <w:r w:rsidR="00984085">
        <w:rPr>
          <w:rFonts w:cs="Times New Roman"/>
          <w:szCs w:val="24"/>
        </w:rPr>
        <w:t xml:space="preserve"> cost</w:t>
      </w:r>
      <w:r>
        <w:rPr>
          <w:rFonts w:cs="Times New Roman"/>
          <w:szCs w:val="24"/>
        </w:rPr>
        <w:t xml:space="preserve"> </w:t>
      </w:r>
      <w:r w:rsidR="00984085">
        <w:rPr>
          <w:rFonts w:cs="Times New Roman"/>
          <w:szCs w:val="24"/>
        </w:rPr>
        <w:t xml:space="preserve">of </w:t>
      </w:r>
      <w:r>
        <w:rPr>
          <w:rFonts w:cs="Times New Roman"/>
          <w:szCs w:val="24"/>
        </w:rPr>
        <w:t xml:space="preserve">biofortification </w:t>
      </w:r>
      <w:r w:rsidR="00984085">
        <w:rPr>
          <w:rFonts w:cs="Times New Roman"/>
          <w:szCs w:val="24"/>
        </w:rPr>
        <w:t xml:space="preserve">through </w:t>
      </w:r>
      <w:r>
        <w:rPr>
          <w:rFonts w:cs="Times New Roman"/>
          <w:szCs w:val="24"/>
        </w:rPr>
        <w:t xml:space="preserve">zinc fertilizer is estimated </w:t>
      </w:r>
      <w:r w:rsidR="00984085">
        <w:rPr>
          <w:rFonts w:cs="Times New Roman"/>
          <w:szCs w:val="24"/>
        </w:rPr>
        <w:t>at</w:t>
      </w:r>
      <w:r>
        <w:rPr>
          <w:rFonts w:cs="Times New Roman"/>
          <w:szCs w:val="24"/>
        </w:rPr>
        <w:t xml:space="preserve"> 0.27 USD. The cost</w:t>
      </w:r>
      <w:r w:rsidR="00984085">
        <w:rPr>
          <w:rFonts w:cs="Times New Roman"/>
          <w:szCs w:val="24"/>
        </w:rPr>
        <w:t>s</w:t>
      </w:r>
      <w:r>
        <w:rPr>
          <w:rFonts w:cs="Times New Roman"/>
          <w:szCs w:val="24"/>
        </w:rPr>
        <w:t xml:space="preserve"> of zinc supplementation and zinc food fortification </w:t>
      </w:r>
      <w:r w:rsidR="00984085">
        <w:rPr>
          <w:rFonts w:cs="Times New Roman"/>
          <w:szCs w:val="24"/>
        </w:rPr>
        <w:t xml:space="preserve">are </w:t>
      </w:r>
      <w:r>
        <w:rPr>
          <w:rFonts w:cs="Times New Roman"/>
          <w:szCs w:val="24"/>
        </w:rPr>
        <w:t xml:space="preserve">derived from the </w:t>
      </w:r>
      <w:r w:rsidR="00984085">
        <w:rPr>
          <w:rFonts w:cs="Times New Roman"/>
          <w:szCs w:val="24"/>
        </w:rPr>
        <w:t>estimates of</w:t>
      </w:r>
      <w:r>
        <w:rPr>
          <w:rFonts w:cs="Times New Roman"/>
          <w:szCs w:val="24"/>
        </w:rPr>
        <w:t xml:space="preserve"> </w:t>
      </w:r>
      <w:r w:rsidR="00DC5F77">
        <w:rPr>
          <w:rFonts w:cs="Times New Roman"/>
          <w:szCs w:val="24"/>
        </w:rPr>
        <w:fldChar w:fldCharType="begin" w:fldLock="1"/>
      </w:r>
      <w:r w:rsidR="00346A66">
        <w:rPr>
          <w:rFonts w:cs="Times New Roman"/>
          <w:szCs w:val="24"/>
        </w:rPr>
        <w:instrText>ADDIN CSL_CITATION {"citationItems":[{"id":"ITEM-1","itemData":{"ISSN":"0022-3166","author":[{"dropping-particle":"","family":"Horton","given":"Sue","non-dropping-particle":"","parse-names":false,"suffix":""}],"container-title":"The Journal of nutrition","id":"ITEM-1","issue":"4","issued":{"date-parts":[["2006"]]},"page":"1068-1071","publisher":"Oxford University Press","title":"The economics of food fortification","type":"article-journal","volume":"136"},"uris":["http://www.mendeley.com/documents/?uuid=a96218dd-6811-4699-a8f3-c8135eb8e276"]},{"id":"ITEM-2","itemData":{"DOI":"10.1017/S1368980007001085","ISBN":"1368980007","ISSN":"13689800","PMID":"17894916","abstract":"In order to prioritise interventions for micronutrient deficiencies in China, the populations affected by iron and zinc deficiencies were assessed based on data from the 2002 China National Nutrition and Health Survey. The costs and cost-effectiveness of supplementation, food diversification and food fortification were estimated using the standard World Health Organization ingredients approach. Results indicated that 30% of children (&lt;2 years), adults (&gt;60 years), pregnant and lactating women, and 20% of women of reproductive age were anaemic, some 245 million people. Approximately 100 million people were affected by zinc deficiency (zinc intake inadequacy and stunting), the majority living in rural areas. Among interventions on iron and zinc deficiency, biofortification showed the lowest costs per capita, I%0.01 (international dollars), while dietary diversification through health education represented the highest costs at I%1148. The cost-effectiveness of supplementation, food fortification and dietary diversification for iron deficiency alone was I%179, I%66 and I%103 per disability-adjusted life-year (DALY), respectively. Data for biofortification were not available. For zinc deficiency, the corresponding figures were I%399, I%153 and I%103 per DALY, respectively. In conclusion, iron and zinc deficiencies are of great public health concern in China. Of the two long-term intervention strategies, i.e. dietary diversification and biofortification with improved varieties, the latter is especially feasible and cost-effective for rural populations. Supplementation and fortification can be used as short-term strategies for specific groups. © The Authors 2007.","author":[{"dropping-particle":"","family":"Ma","given":"Guansheng","non-dropping-particle":"","parse-names":false,"suffix":""},{"dropping-particle":"","family":"Jin","given":"Ying","non-dropping-particle":"","parse-names":false,"suffix":""},{"dropping-particle":"","family":"Li","given":"Yanping","non-dropping-particle":"","parse-names":false,"suffix":""},{"dropping-particle":"","family":"Zhai","given":"Fengying","non-dropping-particle":"","parse-names":false,"suffix":""},{"dropping-particle":"","family":"Kok","given":"Frans J.","non-dropping-particle":"","parse-names":false,"suffix":""},{"dropping-particle":"","family":"Jacobsen","given":"Evert","non-dropping-particle":"","parse-names":false,"suffix":""},{"dropping-particle":"","family":"Yang","given":"Xiaoguang","non-dropping-particle":"","parse-names":false,"suffix":""}],"container-title":"Public Health Nutrition","id":"ITEM-2","issue":"6","issued":{"date-parts":[["2008"]]},"page":"632-638","title":"Iron and zinc deficiencies in China: What is a feasible and cost-effective strategy?","type":"article-journal","volume":"11"},"uris":["http://www.mendeley.com/documents/?uuid=17d310ba-beee-4d32-a0aa-87eaa67276db"]}],"mendeley":{"formattedCitation":"(Horton, 2006; Ma, Jin, Li, Zhai, Frans J. Kok, &lt;i&gt;et al.&lt;/i&gt;, 2008)","manualFormatting":"Horton(2006) and Ma et al.(2008)","plainTextFormattedCitation":"(Horton, 2006; Ma, Jin, Li, Zhai, Frans J. Kok, et al., 2008)","previouslyFormattedCitation":"(Horton, 2006; Ma, Jin, Li, Zhai, Frans J. Kok, &lt;i&gt;et al.&lt;/i&gt;, 2008)"},"properties":{"noteIndex":0},"schema":"https://github.com/citation-style-language/schema/raw/master/csl-citation.json"}</w:instrText>
      </w:r>
      <w:r w:rsidR="00DC5F77">
        <w:rPr>
          <w:rFonts w:cs="Times New Roman"/>
          <w:szCs w:val="24"/>
        </w:rPr>
        <w:fldChar w:fldCharType="separate"/>
      </w:r>
      <w:r w:rsidR="00DC5F77" w:rsidRPr="00DC5F77">
        <w:rPr>
          <w:rFonts w:cs="Times New Roman"/>
          <w:noProof/>
          <w:szCs w:val="24"/>
        </w:rPr>
        <w:t>Horton</w:t>
      </w:r>
      <w:r w:rsidR="00346A66">
        <w:rPr>
          <w:rFonts w:cs="Times New Roman"/>
          <w:noProof/>
          <w:szCs w:val="24"/>
        </w:rPr>
        <w:t>(</w:t>
      </w:r>
      <w:r w:rsidR="00DC5F77" w:rsidRPr="00DC5F77">
        <w:rPr>
          <w:rFonts w:cs="Times New Roman"/>
          <w:noProof/>
          <w:szCs w:val="24"/>
        </w:rPr>
        <w:t>2006</w:t>
      </w:r>
      <w:r w:rsidR="00346A66">
        <w:rPr>
          <w:rFonts w:cs="Times New Roman"/>
          <w:noProof/>
          <w:szCs w:val="24"/>
        </w:rPr>
        <w:t>) and</w:t>
      </w:r>
      <w:r w:rsidR="00DC5F77" w:rsidRPr="00DC5F77">
        <w:rPr>
          <w:rFonts w:cs="Times New Roman"/>
          <w:noProof/>
          <w:szCs w:val="24"/>
        </w:rPr>
        <w:t xml:space="preserve"> Ma </w:t>
      </w:r>
      <w:r w:rsidR="00DC5F77" w:rsidRPr="00DC5F77">
        <w:rPr>
          <w:rFonts w:cs="Times New Roman"/>
          <w:i/>
          <w:noProof/>
          <w:szCs w:val="24"/>
        </w:rPr>
        <w:t>et al.</w:t>
      </w:r>
      <w:r w:rsidR="00346A66">
        <w:rPr>
          <w:rFonts w:cs="Times New Roman"/>
          <w:noProof/>
          <w:szCs w:val="24"/>
        </w:rPr>
        <w:t>(</w:t>
      </w:r>
      <w:r w:rsidR="00DC5F77" w:rsidRPr="00DC5F77">
        <w:rPr>
          <w:rFonts w:cs="Times New Roman"/>
          <w:noProof/>
          <w:szCs w:val="24"/>
        </w:rPr>
        <w:t>2008)</w:t>
      </w:r>
      <w:r w:rsidR="00DC5F77">
        <w:rPr>
          <w:rFonts w:cs="Times New Roman"/>
          <w:szCs w:val="24"/>
        </w:rPr>
        <w:fldChar w:fldCharType="end"/>
      </w:r>
      <w:r>
        <w:rPr>
          <w:rFonts w:cs="Times New Roman"/>
          <w:szCs w:val="24"/>
        </w:rPr>
        <w:t>.</w:t>
      </w:r>
    </w:p>
    <w:p w14:paraId="3E88E2DA" w14:textId="00E94F77" w:rsidR="00035381" w:rsidRDefault="00565304" w:rsidP="006B19E1">
      <w:pPr>
        <w:ind w:firstLineChars="100" w:firstLine="240"/>
      </w:pPr>
      <w:r>
        <w:t>All costs were adjusted to be representative of Chinese price level</w:t>
      </w:r>
      <w:r w:rsidR="00984085">
        <w:t xml:space="preserve"> in 2021</w:t>
      </w:r>
      <w:r>
        <w:t xml:space="preserve">. We adjusted for price differences between different regions using health sector price indices reported by the World Bank's International Comparison Program for cost inputs collected from other settings. To adjust for inflation, we converted the costs into Chinese </w:t>
      </w:r>
      <w:r w:rsidR="00984085">
        <w:t>y</w:t>
      </w:r>
      <w:r>
        <w:t>uan using the exchange rate for the year reported by the Bank of China at the first step</w:t>
      </w:r>
      <w:r w:rsidR="00BE6820">
        <w:t>,</w:t>
      </w:r>
      <w:r>
        <w:t xml:space="preserve"> and then inflated prices to 2021 levels using the World Bank GDP deflator.</w:t>
      </w:r>
    </w:p>
    <w:p w14:paraId="3E88E2DB" w14:textId="77777777" w:rsidR="00035381" w:rsidRDefault="00035381">
      <w:pPr>
        <w:ind w:firstLineChars="100" w:firstLine="240"/>
        <w:rPr>
          <w:rFonts w:cs="Times New Roman"/>
          <w:szCs w:val="24"/>
        </w:rPr>
      </w:pPr>
    </w:p>
    <w:p w14:paraId="3E88E2DC" w14:textId="77777777" w:rsidR="00035381" w:rsidRDefault="00565304" w:rsidP="005A0304">
      <w:pPr>
        <w:pStyle w:val="Subtitle"/>
        <w:ind w:firstLine="480"/>
      </w:pPr>
      <w:r>
        <w:lastRenderedPageBreak/>
        <w:t xml:space="preserve">Consumers' choice and perception </w:t>
      </w:r>
    </w:p>
    <w:p w14:paraId="3E88E2DD" w14:textId="5420B2DE" w:rsidR="00035381" w:rsidRDefault="00014E8C">
      <w:pPr>
        <w:ind w:firstLineChars="100" w:firstLine="240"/>
        <w:rPr>
          <w:rFonts w:cs="Times New Roman"/>
          <w:szCs w:val="24"/>
        </w:rPr>
      </w:pPr>
      <w:bookmarkStart w:id="15" w:name="_Hlk134400491"/>
      <w:r w:rsidRPr="00014E8C">
        <w:t>Among the various methods of micronutrient enrichment, GM breeding techniques are still a very controversial technology and most likely to raise public concerns</w:t>
      </w:r>
      <w:r w:rsidR="003E1EBD">
        <w:t xml:space="preserve"> </w:t>
      </w:r>
      <w:r w:rsidRPr="00014E8C">
        <w:t>over the human and environmental safety</w:t>
      </w:r>
      <w:r w:rsidR="003E1EBD">
        <w:t xml:space="preserve"> </w:t>
      </w:r>
      <w:r>
        <w:fldChar w:fldCharType="begin" w:fldLock="1"/>
      </w:r>
      <w:r w:rsidR="00392D71">
        <w:instrText>ADDIN CSL_CITATION {"citationItems":[{"id":"ITEM-1","itemData":{"DOI":"10.1016/j.foodpol.2013.09.006","ISSN":"03069192","abstract":"The use of genetically modified (GM) crop technology in tackling food security problems and poverty reduction in Africa continues to generate debates over its benefits and safety. Only four countries, South Africa, Sudan, Burkina Faso and Egypt have commercialized GM crops in Africa but controversy surrounds current cultivation of GM maize in Egypt. Our study provides new perspectives on the status, development and regulation of GM crops through examining the views of 305 stakeholders in six African countries across four regions: South Africa, Kenya (East Africa), Egypt and Tunisia (North Africa), Ghana and Nigeria (West Africa), supplemented by interviews with relevant international organizations. The study revealed the challenges leading to the development of biosafety regulatory frameworks and the role of individual stakeholders in the facilitation of GM crops across African countries. This study also revealed that some countries may go through a Fiber-Feed-Food (F3) approach to adopt GM crops where Bt cotton will be adopted first followed by GM crops for livestock feed while undergoing all the necessary assessments before producing GM foods for human consumption. An overwhelming majority of stakeholders placed emphasis on risk analysis (risk assessment and management) in view of limited capacity, lack of scientific expertise and public concern, and encouraged a centralized approach to risk assessment similar to the European Union model of the European Food Safety Authority (EFSA). © 2013.","author":[{"dropping-particle":"","family":"Adenle","given":"Ademola A.","non-dropping-particle":"","parse-names":false,"suffix":""},{"dropping-particle":"","family":"Morris","given":"E. Jane","non-dropping-particle":"","parse-names":false,"suffix":""},{"dropping-particle":"","family":"Parayil","given":"Govindan","non-dropping-particle":"","parse-names":false,"suffix":""}],"container-title":"Food Policy","id":"ITEM-1","issued":{"date-parts":[["2013"]]},"page":"159-166","publisher":"Elsevier Ltd","title":"Status of development, regulation and adoption of GM agriculture in Africa: Views and positions of stakeholder groups","type":"article-journal","volume":"43"},"uris":["http://www.mendeley.com/documents/?uuid=09b6e869-d8ac-42f5-a93c-b695d74933db"]},{"id":"ITEM-2","itemData":{"ISSN":"1522-936X","author":[{"dropping-particle":"","family":"González","given":"Carolina","non-dropping-particle":"","parse-names":false,"suffix":""},{"dropping-particle":"","family":"García","given":"James","non-dropping-particle":"","parse-names":false,"suffix":""},{"dropping-particle":"","family":"Johnson","given":"Nancy","non-dropping-particle":"","parse-names":false,"suffix":""}],"container-title":"AgBioForum","id":"ITEM-2","issue":"3/4","issued":{"date-parts":[["2009"]]},"page":"382-39","publisher":"AgBioForum","title":"Stakeholder positions toward GM food: the case of Vitamin A biofortified cassava in Brazil","type":"article-journal","volume":"12"},"uris":["http://www.mendeley.com/documents/?uuid=c4fd0c1a-bcf2-411d-951e-bd019eedf95d"]}],"mendeley":{"formattedCitation":"(González, García and Johnson, 2009; Adenle, Morris and Parayil, 2013)","plainTextFormattedCitation":"(González, García and Johnson, 2009; Adenle, Morris and Parayil, 2013)","previouslyFormattedCitation":"(González, García and Johnson, 2009; Adenle, Morris and Parayil, 2013)"},"properties":{"noteIndex":0},"schema":"https://github.com/citation-style-language/schema/raw/master/csl-citation.json"}</w:instrText>
      </w:r>
      <w:r>
        <w:fldChar w:fldCharType="separate"/>
      </w:r>
      <w:r w:rsidRPr="00014E8C">
        <w:rPr>
          <w:noProof/>
        </w:rPr>
        <w:t>(González, García and Johnson, 2009; Adenle, Morris and Parayil, 2013)</w:t>
      </w:r>
      <w:r>
        <w:fldChar w:fldCharType="end"/>
      </w:r>
      <w:r w:rsidRPr="00014E8C">
        <w:t xml:space="preserve">, which may have more ambiguous effects on the costs of societal welfare. Therefore, to better account for these societal implications, our study monetized consumers' perceptions in order to provide a more comprehensive analysis of the cost-effectiveness of different interventions. Following </w:t>
      </w:r>
      <w:proofErr w:type="spellStart"/>
      <w:r w:rsidRPr="00014E8C">
        <w:t>Rabovskaja</w:t>
      </w:r>
      <w:proofErr w:type="spellEnd"/>
      <w:r w:rsidRPr="00014E8C">
        <w:t xml:space="preserve"> et al. (2013), we referred consumers positive and negative WTP as premium and discount respectively. Table 1 listed the WTP premium and discounts for each of the interventions with references. Due to the research gap on consumers WTP on food fortification, we assume that fortified products share the same WTP premium with supplementation.</w:t>
      </w:r>
      <w:r>
        <w:t xml:space="preserve"> </w:t>
      </w:r>
      <w:bookmarkEnd w:id="15"/>
      <w:r w:rsidR="00565304" w:rsidRPr="00CF374C">
        <w:t>For the biofortification with transgenic breeding</w:t>
      </w:r>
      <w:r w:rsidR="00565304">
        <w:rPr>
          <w:rFonts w:cs="Times New Roman"/>
          <w:szCs w:val="24"/>
        </w:rPr>
        <w:t xml:space="preserve"> techniques, </w:t>
      </w:r>
      <w:r w:rsidR="00050CDB">
        <w:rPr>
          <w:rFonts w:cs="Times New Roman"/>
          <w:szCs w:val="24"/>
        </w:rPr>
        <w:t>several studies</w:t>
      </w:r>
      <w:r w:rsidR="00565304">
        <w:rPr>
          <w:rFonts w:cs="Times New Roman"/>
          <w:szCs w:val="24"/>
        </w:rPr>
        <w:t xml:space="preserve"> </w:t>
      </w:r>
      <w:r w:rsidR="007D1966">
        <w:rPr>
          <w:rFonts w:cs="Times New Roman"/>
          <w:szCs w:val="24"/>
        </w:rPr>
        <w:t xml:space="preserve">indicated </w:t>
      </w:r>
      <w:r w:rsidR="00565304">
        <w:rPr>
          <w:rFonts w:cs="Times New Roman"/>
          <w:szCs w:val="24"/>
        </w:rPr>
        <w:t xml:space="preserve">that Chinese consumers have an average negative </w:t>
      </w:r>
      <w:r w:rsidR="00050CDB">
        <w:rPr>
          <w:rFonts w:cs="Times New Roman"/>
          <w:szCs w:val="24"/>
        </w:rPr>
        <w:t xml:space="preserve">attitude towards GM </w:t>
      </w:r>
      <w:r w:rsidR="00565304">
        <w:rPr>
          <w:rFonts w:cs="Times New Roman"/>
          <w:szCs w:val="24"/>
        </w:rPr>
        <w:t xml:space="preserve">biofortified foods </w:t>
      </w:r>
      <w:r w:rsidR="00565304">
        <w:rPr>
          <w:rFonts w:cs="Times New Roman"/>
          <w:szCs w:val="24"/>
        </w:rPr>
        <w:fldChar w:fldCharType="begin" w:fldLock="1"/>
      </w:r>
      <w:r w:rsidR="00010E6A">
        <w:rPr>
          <w:rFonts w:cs="Times New Roman"/>
          <w:szCs w:val="24"/>
        </w:rPr>
        <w:instrText>ADDIN CSL_CITATION {"citationItems":[{"id":"ITEM-1","itemData":{"author":[{"dropping-particle":"","family":"Jin","given":"Jing","non-dropping-particle":"","parse-names":false,"suffix":""}],"id":"ITEM-1","issued":{"date-parts":[["2014"]]},"publisher":"University of Arkansas, Fayetteville","title":"Consumer Acceptance and Willingness to Pay for Genetically Modified Rice in China: A Double Bounded Dichotomous Choic Contingent V Contingent Valuation Survey Calibrated by Cheap Talk","type":"thesis"},"uris":["http://www.mendeley.com/documents/?uuid=fef7e6f1-a105-4314-9d15-8aea06801734"]},{"id":"ITEM-2","itemData":{"DOI":"10.1111/1477-9552.12264","ISSN":"14779552","abstract":"We investigate consumer demand for genetically modified (GM) rice in urban China, using a relatively large survey of urban consumers in 2013 and the contingent valuation method. Our results show that respondents discount their WTP for first, second and third generation of GM rice by 31%, 34% and 36%, respectively, compared with non-GM rice, indicating substantial aversion to GM rice by Chinese consumers. The level of consumers’ subjective knowledge of GM rice has a significantly negative impact on their WTP for GM rice, implying that GM rice in China has become a ‘special food’ with an unreliable image.","author":[{"dropping-particle":"","family":"Zheng","given":"Zhihao","non-dropping-particle":"","parse-names":false,"suffix":""},{"dropping-particle":"","family":"Henneberry","given":"Shida R.","non-dropping-particle":"","parse-names":false,"suffix":""},{"dropping-particle":"","family":"Sun","given":"Chuanzhong","non-dropping-particle":"","parse-names":false,"suffix":""},{"dropping-particle":"","family":"Nayga","given":"Rodolfo M.","non-dropping-particle":"","parse-names":false,"suffix":""}],"container-title":"Journal of Agricultural Economics","id":"ITEM-2","issue":"3","issued":{"date-parts":[["2018"]]},"page":"705-725","title":"Consumer Demand for Genetically Modified Rice in Urban China","type":"article-journal","volume":"69"},"uris":["http://www.mendeley.com/documents/?uuid=66dd8933-3f04-49dd-ac9d-567c5e1ff008"]}],"mendeley":{"formattedCitation":"(Jin, 2014; Zheng &lt;i&gt;et al.&lt;/i&gt;, 2018)","plainTextFormattedCitation":"(Jin, 2014; Zheng et al., 2018)","previouslyFormattedCitation":"(Jin, 2014; Zheng &lt;i&gt;et al.&lt;/i&gt;, 2018)"},"properties":{"noteIndex":0},"schema":"https://github.com/citation-style-language/schema/raw/master/csl-citation.json"}</w:instrText>
      </w:r>
      <w:r w:rsidR="00565304">
        <w:rPr>
          <w:rFonts w:cs="Times New Roman"/>
          <w:szCs w:val="24"/>
        </w:rPr>
        <w:fldChar w:fldCharType="separate"/>
      </w:r>
      <w:r w:rsidR="00010E6A" w:rsidRPr="00010E6A">
        <w:rPr>
          <w:rFonts w:cs="Times New Roman"/>
          <w:noProof/>
          <w:szCs w:val="24"/>
        </w:rPr>
        <w:t xml:space="preserve">(Jin, 2014; Zheng </w:t>
      </w:r>
      <w:r w:rsidR="00010E6A" w:rsidRPr="00010E6A">
        <w:rPr>
          <w:rFonts w:cs="Times New Roman"/>
          <w:i/>
          <w:noProof/>
          <w:szCs w:val="24"/>
        </w:rPr>
        <w:t>et al.</w:t>
      </w:r>
      <w:r w:rsidR="00010E6A" w:rsidRPr="00010E6A">
        <w:rPr>
          <w:rFonts w:cs="Times New Roman"/>
          <w:noProof/>
          <w:szCs w:val="24"/>
        </w:rPr>
        <w:t>, 2018)</w:t>
      </w:r>
      <w:r w:rsidR="00565304">
        <w:rPr>
          <w:rFonts w:cs="Times New Roman"/>
          <w:szCs w:val="24"/>
        </w:rPr>
        <w:fldChar w:fldCharType="end"/>
      </w:r>
      <w:r w:rsidR="00565304">
        <w:rPr>
          <w:rFonts w:cs="Times New Roman"/>
          <w:szCs w:val="24"/>
        </w:rPr>
        <w:t xml:space="preserve">. </w:t>
      </w:r>
      <w:r w:rsidR="007D1966">
        <w:rPr>
          <w:rFonts w:cs="Times New Roman"/>
          <w:szCs w:val="24"/>
        </w:rPr>
        <w:t xml:space="preserve">Discounts for GM technologies offered by </w:t>
      </w:r>
      <w:r w:rsidR="00565304">
        <w:rPr>
          <w:rFonts w:cs="Times New Roman"/>
          <w:szCs w:val="24"/>
        </w:rPr>
        <w:t xml:space="preserve">Chinese consumers ranged from 14% to </w:t>
      </w:r>
      <w:r w:rsidR="00DB2B37">
        <w:rPr>
          <w:rFonts w:cs="Times New Roman"/>
          <w:szCs w:val="24"/>
        </w:rPr>
        <w:t>37</w:t>
      </w:r>
      <w:r w:rsidR="00565304">
        <w:rPr>
          <w:rFonts w:cs="Times New Roman"/>
          <w:szCs w:val="24"/>
        </w:rPr>
        <w:t xml:space="preserve">% </w:t>
      </w:r>
      <w:r w:rsidR="00565304">
        <w:rPr>
          <w:rFonts w:cs="Times New Roman"/>
          <w:szCs w:val="24"/>
        </w:rPr>
        <w:fldChar w:fldCharType="begin" w:fldLock="1"/>
      </w:r>
      <w:r w:rsidR="00010E6A">
        <w:rPr>
          <w:rFonts w:cs="Times New Roman"/>
          <w:szCs w:val="24"/>
        </w:rPr>
        <w:instrText>ADDIN CSL_CITATION {"citationItems":[{"id":"ITEM-1","itemData":{"author":[{"dropping-particle":"","family":"Jin","given":"Jing","non-dropping-particle":"","parse-names":false,"suffix":""}],"id":"ITEM-1","issued":{"date-parts":[["2014"]]},"publisher":"University of Arkansas, Fayetteville","title":"Consumer Acceptance and Willingness to Pay for Genetically Modified Rice in China: A Double Bounded Dichotomous Choic Contingent V Contingent Valuation Survey Calibrated by Cheap Talk","type":"thesis"},"uris":["http://www.mendeley.com/documents/?uuid=fef7e6f1-a105-4314-9d15-8aea06801734"]},{"id":"ITEM-2","itemData":{"DOI":"10.1111/1477-9552.12264","ISSN":"14779552","abstract":"We investigate consumer demand for genetically modified (GM) rice in urban China, using a relatively large survey of urban consumers in 2013 and the contingent valuation method. Our results show that respondents discount their WTP for first, second and third generation of GM rice by 31%, 34% and 36%, respectively, compared with non-GM rice, indicating substantial aversion to GM rice by Chinese consumers. The level of consumers’ subjective knowledge of GM rice has a significantly negative impact on their WTP for GM rice, implying that GM rice in China has become a ‘special food’ with an unreliable image.","author":[{"dropping-particle":"","family":"Zheng","given":"Zhihao","non-dropping-particle":"","parse-names":false,"suffix":""},{"dropping-particle":"","family":"Henneberry","given":"Shida R.","non-dropping-particle":"","parse-names":false,"suffix":""},{"dropping-particle":"","family":"Sun","given":"Chuanzhong","non-dropping-particle":"","parse-names":false,"suffix":""},{"dropping-particle":"","family":"Nayga","given":"Rodolfo M.","non-dropping-particle":"","parse-names":false,"suffix":""}],"container-title":"Journal of Agricultural Economics","id":"ITEM-2","issue":"3","issued":{"date-parts":[["2018"]]},"page":"705-725","title":"Consumer Demand for Genetically Modified Rice in Urban China","type":"article-journal","volume":"69"},"uris":["http://www.mendeley.com/documents/?uuid=66dd8933-3f04-49dd-ac9d-567c5e1ff008"]},{"id":"ITEM-3","itemData":{"ISSN":"1068-5502","author":[{"dropping-particle":"","family":"Hu","given":"Wuyang","non-dropping-particle":"","parse-names":false,"suffix":""},{"dropping-particle":"","family":"Zhong","given":"Funing","non-dropping-particle":"","parse-names":false,"suffix":""},{"dropping-particle":"","family":"Ding","given":"Yulian","non-dropping-particle":"","parse-names":false,"suffix":""}],"container-title":"Journal of Agricultural and Resource Economics","id":"ITEM-3","issued":{"date-parts":[["2006"]]},"page":"376-390","publisher":"JSTOR","title":"Actual media reports on GM foods and Chinese consumers' willingness to pay for GM soybean oil","type":"article-journal"},"uris":["http://www.mendeley.com/documents/?uuid=0bac42f3-79c4-418f-bc5b-0deb4c9259cc"]}],"mendeley":{"formattedCitation":"(Hu, Zhong and Ding, 2006; Jin, 2014; Zheng &lt;i&gt;et al.&lt;/i&gt;, 2018)","plainTextFormattedCitation":"(Hu, Zhong and Ding, 2006; Jin, 2014; Zheng et al., 2018)","previouslyFormattedCitation":"(Hu, Zhong and Ding, 2006; Jin, 2014; Zheng &lt;i&gt;et al.&lt;/i&gt;, 2018)"},"properties":{"noteIndex":0},"schema":"https://github.com/citation-style-language/schema/raw/master/csl-citation.json"}</w:instrText>
      </w:r>
      <w:r w:rsidR="00565304">
        <w:rPr>
          <w:rFonts w:cs="Times New Roman"/>
          <w:szCs w:val="24"/>
        </w:rPr>
        <w:fldChar w:fldCharType="separate"/>
      </w:r>
      <w:r w:rsidR="00010E6A" w:rsidRPr="00010E6A">
        <w:rPr>
          <w:rFonts w:cs="Times New Roman"/>
          <w:noProof/>
          <w:szCs w:val="24"/>
        </w:rPr>
        <w:t xml:space="preserve">(Hu, Zhong and Ding, 2006; Jin, 2014; Zheng </w:t>
      </w:r>
      <w:r w:rsidR="00010E6A" w:rsidRPr="00010E6A">
        <w:rPr>
          <w:rFonts w:cs="Times New Roman"/>
          <w:i/>
          <w:noProof/>
          <w:szCs w:val="24"/>
        </w:rPr>
        <w:t>et al.</w:t>
      </w:r>
      <w:r w:rsidR="00010E6A" w:rsidRPr="00010E6A">
        <w:rPr>
          <w:rFonts w:cs="Times New Roman"/>
          <w:noProof/>
          <w:szCs w:val="24"/>
        </w:rPr>
        <w:t>, 2018)</w:t>
      </w:r>
      <w:r w:rsidR="00565304">
        <w:rPr>
          <w:rFonts w:cs="Times New Roman"/>
          <w:szCs w:val="24"/>
        </w:rPr>
        <w:fldChar w:fldCharType="end"/>
      </w:r>
      <w:r w:rsidR="00565304">
        <w:rPr>
          <w:rFonts w:cs="Times New Roman"/>
          <w:szCs w:val="24"/>
        </w:rPr>
        <w:t xml:space="preserve">. However, studies diverged significantly on this issue. It </w:t>
      </w:r>
      <w:r w:rsidR="007D1966">
        <w:rPr>
          <w:rFonts w:cs="Times New Roman"/>
          <w:szCs w:val="24"/>
        </w:rPr>
        <w:t>had</w:t>
      </w:r>
      <w:r w:rsidR="00565304">
        <w:rPr>
          <w:rFonts w:cs="Times New Roman"/>
          <w:szCs w:val="24"/>
        </w:rPr>
        <w:t xml:space="preserve"> also </w:t>
      </w:r>
      <w:r w:rsidR="007D1966">
        <w:rPr>
          <w:rFonts w:cs="Times New Roman"/>
          <w:szCs w:val="24"/>
        </w:rPr>
        <w:t xml:space="preserve">been </w:t>
      </w:r>
      <w:r w:rsidR="00565304">
        <w:rPr>
          <w:rFonts w:cs="Times New Roman"/>
          <w:szCs w:val="24"/>
        </w:rPr>
        <w:t>reported that Chinese consumers hold positive attitudes toward</w:t>
      </w:r>
      <w:r w:rsidR="007D1966">
        <w:rPr>
          <w:rFonts w:cs="Times New Roman"/>
          <w:szCs w:val="24"/>
        </w:rPr>
        <w:t>s</w:t>
      </w:r>
      <w:r w:rsidR="00565304">
        <w:rPr>
          <w:rFonts w:cs="Times New Roman"/>
          <w:szCs w:val="24"/>
        </w:rPr>
        <w:t xml:space="preserve"> GM </w:t>
      </w:r>
      <w:r w:rsidR="00050CDB">
        <w:rPr>
          <w:rFonts w:cs="Times New Roman"/>
          <w:szCs w:val="24"/>
        </w:rPr>
        <w:t xml:space="preserve">biofortified </w:t>
      </w:r>
      <w:r w:rsidR="00565304">
        <w:rPr>
          <w:rFonts w:cs="Times New Roman"/>
          <w:szCs w:val="24"/>
        </w:rPr>
        <w:t xml:space="preserve">foods, especially </w:t>
      </w:r>
      <w:r w:rsidR="00050CDB">
        <w:rPr>
          <w:rFonts w:cs="Times New Roman"/>
          <w:szCs w:val="24"/>
        </w:rPr>
        <w:t>when information is provided</w:t>
      </w:r>
      <w:r w:rsidR="00346A66">
        <w:rPr>
          <w:rFonts w:cs="Times New Roman"/>
          <w:szCs w:val="24"/>
        </w:rPr>
        <w:t xml:space="preserve"> </w:t>
      </w:r>
      <w:r w:rsidR="00346A66">
        <w:rPr>
          <w:rFonts w:cs="Times New Roman"/>
          <w:szCs w:val="24"/>
        </w:rPr>
        <w:fldChar w:fldCharType="begin" w:fldLock="1"/>
      </w:r>
      <w:r w:rsidR="002B323B">
        <w:rPr>
          <w:rFonts w:cs="Times New Roman"/>
          <w:szCs w:val="24"/>
        </w:rPr>
        <w:instrText>ADDIN CSL_CITATION {"citationItems":[{"id":"ITEM-1","itemData":{"ISSN":"1546-1696","author":[{"dropping-particle":"","family":"Steur","given":"Hans","non-dropping-particle":"De","parse-names":false,"suffix":""},{"dropping-particle":"","family":"Blancquaert","given":"Dieter","non-dropping-particle":"","parse-names":false,"suffix":""},{"dropping-particle":"","family":"Strobbe","given":"Simon","non-dropping-particle":"","parse-names":false,"suffix":""},{"dropping-particle":"","family":"Lambert","given":"Willy","non-dropping-particle":"","parse-names":false,"suffix":""},{"dropping-particle":"","family":"Gellynck","given":"Xavier","non-dropping-particle":"","parse-names":false,"suffix":""},{"dropping-particle":"","family":"Straeten","given":"Dominique","non-dropping-particle":"Van Der","parse-names":false,"suffix":""}],"container-title":"Nature biotechnology","id":"ITEM-1","issue":"1","issued":{"date-parts":[["2015"]]},"page":"25-29","publisher":"Nature Publishing Group","title":"Status and market potential of transgenic biofortified crops","type":"article-journal","volume":"33"},"uris":["http://www.mendeley.com/documents/?uuid=fbc5b1bf-eb5f-4042-86de-b67f68acb11c"]},{"id":"ITEM-2","itemData":{"ISSN":"1351-3958","author":[{"dropping-particle":"","family":"Steur","given":"Hans","non-dropping-particle":"De","parse-names":false,"suffix":""},{"dropping-particle":"","family":"Buysse","given":"Jeroen","non-dropping-particle":"","parse-names":false,"suffix":""},{"dropping-particle":"","family":"Feng","given":"Shuyi","non-dropping-particle":"","parse-names":false,"suffix":""},{"dropping-particle":"","family":"Gellynck","given":"Xavier","non-dropping-particle":"","parse-names":false,"suffix":""}],"container-title":"Asian Economic Journal","id":"ITEM-2","issue":"4","issued":{"date-parts":[["2013"]]},"page":"391-408","publisher":"Wiley Online Library","title":"Role of Information on Consumers’ Willingness</w:instrText>
      </w:r>
      <w:r w:rsidR="002B323B">
        <w:rPr>
          <w:rFonts w:cs="Times New Roman" w:hint="eastAsia"/>
          <w:szCs w:val="24"/>
        </w:rPr>
        <w:instrText>‐</w:instrText>
      </w:r>
      <w:r w:rsidR="002B323B">
        <w:rPr>
          <w:rFonts w:cs="Times New Roman"/>
          <w:szCs w:val="24"/>
        </w:rPr>
        <w:instrText>to</w:instrText>
      </w:r>
      <w:r w:rsidR="002B323B">
        <w:rPr>
          <w:rFonts w:cs="Times New Roman" w:hint="eastAsia"/>
          <w:szCs w:val="24"/>
        </w:rPr>
        <w:instrText>‐</w:instrText>
      </w:r>
      <w:r w:rsidR="002B323B">
        <w:rPr>
          <w:rFonts w:cs="Times New Roman"/>
          <w:szCs w:val="24"/>
        </w:rPr>
        <w:instrText>pay for Genetically</w:instrText>
      </w:r>
      <w:r w:rsidR="002B323B">
        <w:rPr>
          <w:rFonts w:cs="Times New Roman" w:hint="eastAsia"/>
          <w:szCs w:val="24"/>
        </w:rPr>
        <w:instrText>‐</w:instrText>
      </w:r>
      <w:r w:rsidR="002B323B">
        <w:rPr>
          <w:rFonts w:cs="Times New Roman"/>
          <w:szCs w:val="24"/>
        </w:rPr>
        <w:instrText>modified Rice with Health Benefits: An Application to China","type":"article-journal","volume":"27"},"uris":["http://www.mendeley.com/documents/?uuid=28dd14b2-8034-4a7b-944d-73cb1821a360"]},{"id":"ITEM-3","itemData":{"ISSN":"0195-6663","author":[{"dropping-particle":"","family":"Steur","given":"Hans","non-dropping-particle":"De","parse-names":false,"suffix":""},{"dropping-particle":"","family":"Gellynck","given":"Xavier","non-dropping-particle":"","parse-names":false,"suffix":""},{"dropping-particle":"","family":"Storozhenko","given":"S","non-dropping-particle":"","parse-names":false,"suffix":""},{"dropping-particle":"","family":"Liqun","given":"Ge","non-dropping-particle":"","parse-names":false,"suffix":""},{"dropping-particle":"","family":"Lambert","given":"Willy","non-dropping-particle":"","parse-names":false,"suffix":""},{"dropping-particle":"","family":"Straeten","given":"Dominique","non-dropping-particle":"Van Der","parse-names":false,"suffix":""},{"dropping-particle":"","family":"Viaene","given":"Jacques","non-dropping-particle":"","parse-names":false,"suffix":""}],"container-title":"Appetite","id":"ITEM-3","issue":"1","issued":{"date-parts":[["2010"]]},"page":"118-125","publisher":"Elsevier","title":"Willingness-to-accept and purchase genetically modified rice with high folate content in Shanxi Province, China","type":"article-journal","volume":"54"},"uris":["http://www.mendeley.com/documents/?uuid=bb6153a1-8a2a-417e-97e4-a0ae86609241"]},{"id":"ITEM-4","itemData":{"ISSN":"1522-936X","author":[{"dropping-particle":"","family":"Li","given":"Quan","non-dropping-particle":"","parse-names":false,"suffix":""},{"dropping-particle":"","family":"Curtis","given":"Kynda R","non-dropping-particle":"","parse-names":false,"suffix":""},{"dropping-particle":"","family":"McCluskey","given":"Jill J","non-dropping-particle":"","parse-names":false,"suffix":""},{"dropping-particle":"","family":"Wahl","given":"Thomas I","non-dropping-particle":"","parse-names":false,"suffix":""}],"container-title":"AgBioForum","id":"ITEM-4","issue":"4","issued":{"date-parts":[["2002"]]},"page":"145-152","publisher":"AgBioForum","title":"Consumer attitudes toward genetically modified foods in Beijing, China","type":"article-journal","volume":"5"},"uris":["http://www.mendeley.com/documents/?uuid=c2342d45-a1ba-4d41-a025-7303b072af9e"]}],"mendeley":{"formattedCitation":"(Li &lt;i&gt;et al.&lt;/i&gt;, 2002; De Steur, Gellynck, S Storozhenko, &lt;i&gt;et al.&lt;/i&gt;, 2010; De Steur &lt;i&gt;et al.&lt;/i&gt;, 2013, 2015)","plainTextFormattedCitation":"(Li et al., 2002; De Steur, Gellynck, S Storozhenko, et al., 2010; De Steur et al., 2013, 2015)","previouslyFormattedCitation":"(Li &lt;i&gt;et al.&lt;/i&gt;, 2002; De Steur, Gellynck, S Storozhenko, &lt;i&gt;et al.&lt;/i&gt;, 2010; De Steur &lt;i&gt;et al.&lt;/i&gt;, 2013, 2015)"},"properties":{"noteIndex":0},"schema":"https://github.com/citation-style-language/schema/raw/master/csl-citation.json"}</w:instrText>
      </w:r>
      <w:r w:rsidR="00346A66">
        <w:rPr>
          <w:rFonts w:cs="Times New Roman"/>
          <w:szCs w:val="24"/>
        </w:rPr>
        <w:fldChar w:fldCharType="separate"/>
      </w:r>
      <w:r w:rsidR="00346A66" w:rsidRPr="00346A66">
        <w:rPr>
          <w:rFonts w:cs="Times New Roman"/>
          <w:noProof/>
          <w:szCs w:val="24"/>
        </w:rPr>
        <w:t xml:space="preserve">(Li </w:t>
      </w:r>
      <w:r w:rsidR="00346A66" w:rsidRPr="00346A66">
        <w:rPr>
          <w:rFonts w:cs="Times New Roman"/>
          <w:i/>
          <w:noProof/>
          <w:szCs w:val="24"/>
        </w:rPr>
        <w:t>et al.</w:t>
      </w:r>
      <w:r w:rsidR="00346A66" w:rsidRPr="00346A66">
        <w:rPr>
          <w:rFonts w:cs="Times New Roman"/>
          <w:noProof/>
          <w:szCs w:val="24"/>
        </w:rPr>
        <w:t xml:space="preserve">, 2002; De Steur, Gellynck, S Storozhenko, </w:t>
      </w:r>
      <w:r w:rsidR="00346A66" w:rsidRPr="00346A66">
        <w:rPr>
          <w:rFonts w:cs="Times New Roman"/>
          <w:i/>
          <w:noProof/>
          <w:szCs w:val="24"/>
        </w:rPr>
        <w:t>et al.</w:t>
      </w:r>
      <w:r w:rsidR="00346A66" w:rsidRPr="00346A66">
        <w:rPr>
          <w:rFonts w:cs="Times New Roman"/>
          <w:noProof/>
          <w:szCs w:val="24"/>
        </w:rPr>
        <w:t xml:space="preserve">, 2010; De Steur </w:t>
      </w:r>
      <w:r w:rsidR="00346A66" w:rsidRPr="00346A66">
        <w:rPr>
          <w:rFonts w:cs="Times New Roman"/>
          <w:i/>
          <w:noProof/>
          <w:szCs w:val="24"/>
        </w:rPr>
        <w:t>et al.</w:t>
      </w:r>
      <w:r w:rsidR="00346A66" w:rsidRPr="00346A66">
        <w:rPr>
          <w:rFonts w:cs="Times New Roman"/>
          <w:noProof/>
          <w:szCs w:val="24"/>
        </w:rPr>
        <w:t>, 2013, 2015)</w:t>
      </w:r>
      <w:r w:rsidR="00346A66">
        <w:rPr>
          <w:rFonts w:cs="Times New Roman"/>
          <w:szCs w:val="24"/>
        </w:rPr>
        <w:fldChar w:fldCharType="end"/>
      </w:r>
      <w:r w:rsidR="00565304" w:rsidRPr="00F55927">
        <w:rPr>
          <w:rFonts w:cs="Times New Roman"/>
          <w:szCs w:val="24"/>
          <w:lang w:val="nl-BE"/>
        </w:rPr>
        <w:t xml:space="preserve">. </w:t>
      </w:r>
      <w:r w:rsidR="00565304">
        <w:rPr>
          <w:rFonts w:cs="Times New Roman"/>
          <w:szCs w:val="24"/>
        </w:rPr>
        <w:t xml:space="preserve">The premium </w:t>
      </w:r>
      <w:r w:rsidR="007D1966">
        <w:rPr>
          <w:rFonts w:cs="Times New Roman"/>
          <w:szCs w:val="24"/>
        </w:rPr>
        <w:t xml:space="preserve">fell between </w:t>
      </w:r>
      <w:r w:rsidR="00565304">
        <w:rPr>
          <w:rFonts w:cs="Times New Roman"/>
          <w:szCs w:val="24"/>
        </w:rPr>
        <w:t xml:space="preserve">19% </w:t>
      </w:r>
      <w:r w:rsidR="007D1966">
        <w:rPr>
          <w:rFonts w:cs="Times New Roman"/>
          <w:szCs w:val="24"/>
        </w:rPr>
        <w:t xml:space="preserve">and </w:t>
      </w:r>
      <w:r w:rsidR="00565304">
        <w:rPr>
          <w:rFonts w:cs="Times New Roman"/>
          <w:szCs w:val="24"/>
        </w:rPr>
        <w:t xml:space="preserve">34%. </w:t>
      </w:r>
    </w:p>
    <w:p w14:paraId="3E88E2DE" w14:textId="4D8E6ADC" w:rsidR="00035381" w:rsidRDefault="001C751C">
      <w:pPr>
        <w:ind w:firstLineChars="100" w:firstLine="240"/>
        <w:rPr>
          <w:rFonts w:cs="Times New Roman"/>
          <w:szCs w:val="24"/>
        </w:rPr>
      </w:pPr>
      <w:r>
        <w:rPr>
          <w:rFonts w:cs="Times New Roman"/>
          <w:szCs w:val="24"/>
        </w:rPr>
        <w:t xml:space="preserve">Taking into </w:t>
      </w:r>
      <w:r w:rsidR="00B10E44">
        <w:rPr>
          <w:rFonts w:cs="Times New Roman"/>
          <w:szCs w:val="24"/>
        </w:rPr>
        <w:t>account</w:t>
      </w:r>
      <w:r>
        <w:rPr>
          <w:rFonts w:cs="Times New Roman"/>
          <w:szCs w:val="24"/>
        </w:rPr>
        <w:t xml:space="preserve"> </w:t>
      </w:r>
      <w:r w:rsidR="00565304">
        <w:rPr>
          <w:rFonts w:cs="Times New Roman"/>
          <w:szCs w:val="24"/>
        </w:rPr>
        <w:t xml:space="preserve">the heterogeneity </w:t>
      </w:r>
      <w:r w:rsidR="00441EAA">
        <w:rPr>
          <w:rFonts w:cs="Times New Roman"/>
          <w:szCs w:val="24"/>
        </w:rPr>
        <w:t xml:space="preserve">of </w:t>
      </w:r>
      <w:r w:rsidR="00565304">
        <w:rPr>
          <w:rFonts w:cs="Times New Roman"/>
          <w:szCs w:val="24"/>
        </w:rPr>
        <w:t xml:space="preserve">Chinese consumers acceptance of </w:t>
      </w:r>
      <w:r w:rsidR="00AC1E95">
        <w:rPr>
          <w:rFonts w:cs="Times New Roman"/>
          <w:szCs w:val="24"/>
        </w:rPr>
        <w:t xml:space="preserve">GM </w:t>
      </w:r>
      <w:r w:rsidR="00565304">
        <w:rPr>
          <w:rFonts w:cs="Times New Roman"/>
          <w:szCs w:val="24"/>
        </w:rPr>
        <w:t xml:space="preserve">biofortified crops, </w:t>
      </w:r>
      <w:r w:rsidR="00AC1E95">
        <w:rPr>
          <w:rFonts w:cs="Times New Roman"/>
          <w:szCs w:val="24"/>
        </w:rPr>
        <w:t xml:space="preserve">where </w:t>
      </w:r>
      <w:r w:rsidR="00565304">
        <w:rPr>
          <w:rFonts w:cs="Times New Roman"/>
          <w:szCs w:val="24"/>
        </w:rPr>
        <w:t xml:space="preserve">different </w:t>
      </w:r>
      <w:r w:rsidR="00AC1E95">
        <w:rPr>
          <w:rFonts w:cs="Times New Roman"/>
          <w:szCs w:val="24"/>
        </w:rPr>
        <w:t xml:space="preserve">target </w:t>
      </w:r>
      <w:r w:rsidR="00250E52">
        <w:rPr>
          <w:rFonts w:cs="Times New Roman"/>
          <w:szCs w:val="24"/>
        </w:rPr>
        <w:t>micro</w:t>
      </w:r>
      <w:r w:rsidR="00AC1E95">
        <w:rPr>
          <w:rFonts w:cs="Times New Roman"/>
          <w:szCs w:val="24"/>
        </w:rPr>
        <w:t xml:space="preserve">nutrients or populations </w:t>
      </w:r>
      <w:r>
        <w:rPr>
          <w:rFonts w:cs="Times New Roman"/>
          <w:szCs w:val="24"/>
        </w:rPr>
        <w:t xml:space="preserve">may </w:t>
      </w:r>
      <w:r w:rsidR="00AC1E95">
        <w:rPr>
          <w:rFonts w:cs="Times New Roman"/>
          <w:szCs w:val="24"/>
        </w:rPr>
        <w:t>account for differences between studies</w:t>
      </w:r>
      <w:r w:rsidR="00565304">
        <w:rPr>
          <w:rFonts w:cs="Times New Roman"/>
          <w:szCs w:val="24"/>
        </w:rPr>
        <w:t xml:space="preserve">, we considered both the case in which GM food is preferred </w:t>
      </w:r>
      <w:r w:rsidR="00F40B4D">
        <w:rPr>
          <w:rFonts w:cs="Times New Roman"/>
          <w:szCs w:val="24"/>
        </w:rPr>
        <w:t xml:space="preserve">(premium) </w:t>
      </w:r>
      <w:r w:rsidR="00565304">
        <w:rPr>
          <w:rFonts w:cs="Times New Roman"/>
          <w:szCs w:val="24"/>
        </w:rPr>
        <w:t xml:space="preserve">or </w:t>
      </w:r>
      <w:r w:rsidR="00F40B4D">
        <w:rPr>
          <w:rFonts w:cs="Times New Roman"/>
          <w:szCs w:val="24"/>
        </w:rPr>
        <w:t xml:space="preserve">not(discount) </w:t>
      </w:r>
      <w:r w:rsidR="00565304">
        <w:rPr>
          <w:rFonts w:cs="Times New Roman"/>
          <w:szCs w:val="24"/>
        </w:rPr>
        <w:t>in our sensitivity analysis. The average annual consumption of wheat grain is</w:t>
      </w:r>
      <w:r w:rsidR="00B23A31">
        <w:rPr>
          <w:rFonts w:cs="Times New Roman"/>
          <w:szCs w:val="24"/>
        </w:rPr>
        <w:t xml:space="preserve"> 66.4</w:t>
      </w:r>
      <w:r w:rsidR="00565304">
        <w:rPr>
          <w:rFonts w:cs="Times New Roman"/>
          <w:szCs w:val="24"/>
        </w:rPr>
        <w:t xml:space="preserve">kg per person. Assuming that the average price is 3.15 CNY (0.49 USD) per kg, which is based on the average price extracted from the </w:t>
      </w:r>
      <w:r w:rsidR="00565304">
        <w:rPr>
          <w:rFonts w:cs="Times New Roman"/>
          <w:szCs w:val="24"/>
        </w:rPr>
        <w:fldChar w:fldCharType="begin" w:fldLock="1"/>
      </w:r>
      <w:r w:rsidR="00314198">
        <w:rPr>
          <w:rFonts w:cs="Times New Roman"/>
          <w:szCs w:val="24"/>
        </w:rPr>
        <w:instrText>ADDIN CSL_CITATION {"citationItems":[{"id":"ITEM-1","itemData":{"URL":"https://data.stats.gov.cn/easyquery.htm?cn=A01&amp;zb=A010G01&amp;sj=202204","accessed":{"date-parts":[["2022","5","13"]]},"author":[{"dropping-particle":"","family":"National Bureau of Statisitic","given":"","non-dropping-particle":"","parse-names":false,"suffix":""}],"id":"ITEM-1","issued":{"date-parts":[["2022"]]},"title":"Market price of grains","type":"webpage"},"uris":["http://www.mendeley.com/documents/?uuid=fce96b36-e801-418b-8a45-5a5d9aa4e2f5"]}],"mendeley":{"formattedCitation":"(National Bureau of Statisitic, 2022)","manualFormatting":"National Bureau of Statistic (2022)","plainTextFormattedCitation":"(National Bureau of Statisitic, 2022)","previouslyFormattedCitation":"(National Bureau of Statisitic, 2022)"},"properties":{"noteIndex":0},"schema":"https://github.com/citation-style-language/schema/raw/master/csl-citation.json"}</w:instrText>
      </w:r>
      <w:r w:rsidR="00565304">
        <w:rPr>
          <w:rFonts w:cs="Times New Roman"/>
          <w:szCs w:val="24"/>
        </w:rPr>
        <w:fldChar w:fldCharType="separate"/>
      </w:r>
      <w:r w:rsidR="00565304">
        <w:rPr>
          <w:rFonts w:cs="Times New Roman"/>
          <w:noProof/>
          <w:szCs w:val="24"/>
        </w:rPr>
        <w:t>National Bureau of Statistic (2022)</w:t>
      </w:r>
      <w:r w:rsidR="00565304">
        <w:rPr>
          <w:rFonts w:cs="Times New Roman"/>
          <w:szCs w:val="24"/>
        </w:rPr>
        <w:fldChar w:fldCharType="end"/>
      </w:r>
      <w:r w:rsidR="00565304">
        <w:rPr>
          <w:rFonts w:cs="Times New Roman"/>
          <w:szCs w:val="24"/>
        </w:rPr>
        <w:t xml:space="preserve">, the average annual cost from consumer discounts would range from 16.5-65.9 CNY (2.6-10.2 USD) per person. At the same time, the average welfare </w:t>
      </w:r>
      <w:r w:rsidR="00250E52">
        <w:rPr>
          <w:rFonts w:cs="Times New Roman"/>
          <w:szCs w:val="24"/>
        </w:rPr>
        <w:t xml:space="preserve">gain </w:t>
      </w:r>
      <w:r w:rsidR="00565304">
        <w:rPr>
          <w:rFonts w:cs="Times New Roman"/>
          <w:szCs w:val="24"/>
        </w:rPr>
        <w:t>from consumers’ surplus was assigned the same range.</w:t>
      </w:r>
      <w:bookmarkStart w:id="16" w:name="_Hlk136466591"/>
      <w:r w:rsidR="00565304">
        <w:rPr>
          <w:rFonts w:cs="Times New Roman"/>
          <w:szCs w:val="24"/>
        </w:rPr>
        <w:t xml:space="preserve"> </w:t>
      </w:r>
      <w:bookmarkEnd w:id="16"/>
      <w:r w:rsidR="00DF4F27" w:rsidRPr="00DF4F27">
        <w:rPr>
          <w:rFonts w:cs="Times New Roman"/>
          <w:szCs w:val="24"/>
        </w:rPr>
        <w:t>Following the same rationale, as presented in Table 1, we employed various consumers WTP premium/discount for non-GM biofortification, supplementation, and food fortification, with values of 36.5% premium, 19% premium, and 19% premium, respectively</w:t>
      </w:r>
      <w:r w:rsidR="00DF4F27">
        <w:rPr>
          <w:rFonts w:cs="Times New Roman"/>
          <w:szCs w:val="24"/>
        </w:rPr>
        <w:t xml:space="preserve"> </w:t>
      </w:r>
      <w:r w:rsidR="00DF4F27">
        <w:rPr>
          <w:rFonts w:cs="Times New Roman"/>
          <w:szCs w:val="24"/>
        </w:rPr>
        <w:fldChar w:fldCharType="begin" w:fldLock="1"/>
      </w:r>
      <w:r w:rsidR="00DA4E49">
        <w:rPr>
          <w:rFonts w:cs="Times New Roman"/>
          <w:szCs w:val="24"/>
        </w:rPr>
        <w:instrText>ADDIN CSL_CITATION {"citationItems":[{"id":"ITEM-1","itemData":{"ISSN":"1368-9800","author":[{"dropping-particle":"","family":"Steur","given":"Hans","non-dropping-particle":"De","parse-names":false,"suffix":""},{"dropping-particle":"","family":"Feng","given":"Shuyi","non-dropping-particle":"","parse-names":false,"suffix":""},{"dropping-particle":"","family":"Xiaoping","given":"Shi","non-dropping-particle":"","parse-names":false,"suffix":""},{"dropping-particle":"","family":"Gellynck","given":"Xavier","non-dropping-particle":"","parse-names":false,"suffix":""}],"container-title":"Public health nutrition","id":"ITEM-1","issue":"6","issued":{"date-parts":[["2014"]]},"page":"1410-1420","publisher":"Cambridge University Press","title":"Consumer preferences for micronutrient strategies in China. A comparison between folic acid supplementation and folate biofortification","type":"article-journal","volume":"17"},"uris":["http://www.mendeley.com/documents/?uuid=b37f42a4-8397-427d-8855-7ab564582229"]}],"mendeley":{"formattedCitation":"(De Steur &lt;i&gt;et al.&lt;/i&gt;, 2014)","plainTextFormattedCitation":"(De Steur et al., 2014)","previouslyFormattedCitation":"(De Steur &lt;i&gt;et al.&lt;/i&gt;, 2014)"},"properties":{"noteIndex":0},"schema":"https://github.com/citation-style-language/schema/raw/master/csl-citation.json"}</w:instrText>
      </w:r>
      <w:r w:rsidR="00DF4F27">
        <w:rPr>
          <w:rFonts w:cs="Times New Roman"/>
          <w:szCs w:val="24"/>
        </w:rPr>
        <w:fldChar w:fldCharType="separate"/>
      </w:r>
      <w:r w:rsidR="00DF4F27" w:rsidRPr="00DF4F27">
        <w:rPr>
          <w:rFonts w:cs="Times New Roman"/>
          <w:noProof/>
          <w:szCs w:val="24"/>
        </w:rPr>
        <w:t xml:space="preserve">(De Steur </w:t>
      </w:r>
      <w:r w:rsidR="00DF4F27" w:rsidRPr="00DF4F27">
        <w:rPr>
          <w:rFonts w:cs="Times New Roman"/>
          <w:i/>
          <w:noProof/>
          <w:szCs w:val="24"/>
        </w:rPr>
        <w:t>et al.</w:t>
      </w:r>
      <w:r w:rsidR="00DF4F27" w:rsidRPr="00DF4F27">
        <w:rPr>
          <w:rFonts w:cs="Times New Roman"/>
          <w:noProof/>
          <w:szCs w:val="24"/>
        </w:rPr>
        <w:t>, 2014)</w:t>
      </w:r>
      <w:r w:rsidR="00DF4F27">
        <w:rPr>
          <w:rFonts w:cs="Times New Roman"/>
          <w:szCs w:val="24"/>
        </w:rPr>
        <w:fldChar w:fldCharType="end"/>
      </w:r>
      <w:r w:rsidR="00DF4F27" w:rsidRPr="00DF4F27">
        <w:rPr>
          <w:rFonts w:cs="Times New Roman"/>
          <w:szCs w:val="24"/>
        </w:rPr>
        <w:t>. Due to the research gap on consumers WTP on food fortification, we assume that fortified products share the same WTP premium with supplementation.</w:t>
      </w:r>
      <w:r w:rsidR="003B1EB0">
        <w:rPr>
          <w:rFonts w:cs="Times New Roman"/>
          <w:szCs w:val="24"/>
        </w:rPr>
        <w:t xml:space="preserve"> </w:t>
      </w:r>
      <w:r w:rsidR="00250E52">
        <w:rPr>
          <w:rFonts w:cs="Times New Roman"/>
          <w:szCs w:val="24"/>
        </w:rPr>
        <w:t xml:space="preserve">Given the uncertainty of the </w:t>
      </w:r>
      <w:r w:rsidR="00565304">
        <w:rPr>
          <w:rFonts w:cs="Times New Roman"/>
          <w:szCs w:val="24"/>
        </w:rPr>
        <w:t xml:space="preserve">assumptions about consumers' perceptions, we opted to evaluate </w:t>
      </w:r>
      <w:r w:rsidR="00250E52">
        <w:rPr>
          <w:rFonts w:cs="Times New Roman"/>
          <w:szCs w:val="24"/>
        </w:rPr>
        <w:t xml:space="preserve">their </w:t>
      </w:r>
      <w:r w:rsidR="00565304">
        <w:rPr>
          <w:rFonts w:cs="Times New Roman"/>
          <w:szCs w:val="24"/>
        </w:rPr>
        <w:t>impact in the sensitivity analysis rather than in the base</w:t>
      </w:r>
      <w:r>
        <w:rPr>
          <w:rFonts w:cs="Times New Roman"/>
          <w:szCs w:val="24"/>
        </w:rPr>
        <w:t>line</w:t>
      </w:r>
      <w:r w:rsidR="00565304">
        <w:rPr>
          <w:rFonts w:cs="Times New Roman"/>
          <w:szCs w:val="24"/>
        </w:rPr>
        <w:t xml:space="preserve"> scenario.</w:t>
      </w:r>
    </w:p>
    <w:p w14:paraId="3E88E2DF" w14:textId="77777777" w:rsidR="00035381" w:rsidRDefault="00035381">
      <w:pPr>
        <w:ind w:firstLine="480"/>
        <w:rPr>
          <w:rFonts w:cs="Times New Roman"/>
          <w:szCs w:val="24"/>
        </w:rPr>
      </w:pPr>
    </w:p>
    <w:p w14:paraId="3E88E2E0" w14:textId="77777777" w:rsidR="00035381" w:rsidRDefault="00565304" w:rsidP="005A0304">
      <w:pPr>
        <w:pStyle w:val="Subtitle"/>
        <w:ind w:firstLine="480"/>
      </w:pPr>
      <w:r>
        <w:t xml:space="preserve">Timing </w:t>
      </w:r>
    </w:p>
    <w:p w14:paraId="3E88E2E1" w14:textId="17AEB901" w:rsidR="00035381" w:rsidRDefault="00565304">
      <w:pPr>
        <w:ind w:firstLineChars="100" w:firstLine="240"/>
        <w:rPr>
          <w:rFonts w:cs="Times New Roman"/>
          <w:szCs w:val="24"/>
        </w:rPr>
      </w:pPr>
      <w:r>
        <w:rPr>
          <w:rFonts w:cs="Times New Roman"/>
          <w:szCs w:val="24"/>
        </w:rPr>
        <w:t xml:space="preserve">The time horizon used in this study is ten years, </w:t>
      </w:r>
      <w:r w:rsidR="00BA3385">
        <w:rPr>
          <w:rFonts w:cs="Times New Roman"/>
          <w:szCs w:val="24"/>
        </w:rPr>
        <w:t xml:space="preserve">as micronutrient interventions </w:t>
      </w:r>
      <w:r>
        <w:rPr>
          <w:rFonts w:cs="Times New Roman"/>
          <w:szCs w:val="24"/>
        </w:rPr>
        <w:t xml:space="preserve">can </w:t>
      </w:r>
      <w:r w:rsidR="00F63593" w:rsidRPr="00F63593">
        <w:rPr>
          <w:rFonts w:cs="Times New Roman"/>
          <w:szCs w:val="24"/>
        </w:rPr>
        <w:t>have a long-term impact on population health</w:t>
      </w:r>
      <w:r>
        <w:rPr>
          <w:rFonts w:cs="Times New Roman"/>
          <w:szCs w:val="24"/>
        </w:rPr>
        <w:t xml:space="preserve">. Following the guidelines of </w:t>
      </w:r>
      <w:r>
        <w:rPr>
          <w:rFonts w:cs="Times New Roman"/>
          <w:szCs w:val="24"/>
        </w:rPr>
        <w:fldChar w:fldCharType="begin" w:fldLock="1"/>
      </w:r>
      <w:r w:rsidR="001A20B6">
        <w:rPr>
          <w:rFonts w:cs="Times New Roman"/>
          <w:szCs w:val="24"/>
        </w:rPr>
        <w:instrText>ADDIN CSL_CITATION {"citationItems":[{"id":"ITEM-1","itemData":{"author":[{"dropping-particle":"","family":"National Institute for Health and Care Excellence","given":"","non-dropping-particle":"","parse-names":false,"suffix":""}],"id":"ITEM-1","issued":{"date-parts":[["2014"]]},"publisher-place":"London","title":"Developing NICE guidelines: the manual","type":"report"},"uris":["http://www.mendeley.com/documents/?uuid=aedf396b-f1cc-4c54-850b-76f90f109176"]}],"mendeley":{"formattedCitation":"(National Institute for Health and Care Excellence, 2014)","manualFormatting":"NICE (2014)","plainTextFormattedCitation":"(National Institute for Health and Care Excellence, 2014)","previouslyFormattedCitation":"(National Institute for Health and Care Excellence, 2014)"},"properties":{"noteIndex":0},"schema":"https://github.com/citation-style-language/schema/raw/master/csl-citation.json"}</w:instrText>
      </w:r>
      <w:r>
        <w:rPr>
          <w:rFonts w:cs="Times New Roman"/>
          <w:szCs w:val="24"/>
        </w:rPr>
        <w:fldChar w:fldCharType="separate"/>
      </w:r>
      <w:r>
        <w:rPr>
          <w:rFonts w:cs="Times New Roman"/>
          <w:noProof/>
          <w:szCs w:val="24"/>
        </w:rPr>
        <w:t>NICE (2014)</w:t>
      </w:r>
      <w:r>
        <w:rPr>
          <w:rFonts w:cs="Times New Roman"/>
          <w:szCs w:val="24"/>
        </w:rPr>
        <w:fldChar w:fldCharType="end"/>
      </w:r>
      <w:r>
        <w:rPr>
          <w:rFonts w:cs="Times New Roman"/>
          <w:szCs w:val="24"/>
        </w:rPr>
        <w:t xml:space="preserve">, we set the discount rate at 3.5% to convert future costs and benefits into present values. </w:t>
      </w:r>
      <w:r>
        <w:rPr>
          <w:rFonts w:cs="Times New Roman"/>
          <w:szCs w:val="24"/>
        </w:rPr>
        <w:lastRenderedPageBreak/>
        <w:t>The discount rates</w:t>
      </w:r>
      <w:r w:rsidR="00F63593">
        <w:rPr>
          <w:rFonts w:cs="Times New Roman"/>
          <w:szCs w:val="24"/>
        </w:rPr>
        <w:t xml:space="preserve"> used </w:t>
      </w:r>
      <w:r>
        <w:rPr>
          <w:rFonts w:cs="Times New Roman"/>
          <w:szCs w:val="24"/>
        </w:rPr>
        <w:t xml:space="preserve">in the sensitivity analysis are 0% and 5%. </w:t>
      </w:r>
    </w:p>
    <w:p w14:paraId="3E88E2E2" w14:textId="77777777" w:rsidR="00035381" w:rsidRDefault="00035381">
      <w:pPr>
        <w:ind w:firstLine="480"/>
        <w:rPr>
          <w:rFonts w:cs="Times New Roman"/>
          <w:color w:val="FF0000"/>
          <w:szCs w:val="24"/>
        </w:rPr>
      </w:pPr>
    </w:p>
    <w:p w14:paraId="3E88E2E3" w14:textId="77777777" w:rsidR="00035381" w:rsidRDefault="00565304" w:rsidP="005A0304">
      <w:pPr>
        <w:pStyle w:val="Subtitle"/>
        <w:ind w:firstLine="480"/>
      </w:pPr>
      <w:r>
        <w:t>Uncertainty</w:t>
      </w:r>
    </w:p>
    <w:p w14:paraId="3E88E2E4" w14:textId="0923A7E1" w:rsidR="00035381" w:rsidRDefault="00565304">
      <w:pPr>
        <w:ind w:firstLineChars="100" w:firstLine="240"/>
        <w:rPr>
          <w:rFonts w:cs="Times New Roman"/>
          <w:szCs w:val="24"/>
        </w:rPr>
      </w:pPr>
      <w:r>
        <w:rPr>
          <w:rFonts w:cs="Times New Roman"/>
          <w:szCs w:val="24"/>
        </w:rPr>
        <w:t xml:space="preserve">The baseline results were based on the best available estimates from the literature (Table 2). </w:t>
      </w:r>
      <w:r w:rsidR="00B80368">
        <w:rPr>
          <w:rFonts w:cs="Times New Roman"/>
          <w:szCs w:val="24"/>
        </w:rPr>
        <w:t>To accommodate for uncertainties, w</w:t>
      </w:r>
      <w:r>
        <w:rPr>
          <w:rFonts w:cs="Times New Roman"/>
          <w:szCs w:val="24"/>
        </w:rPr>
        <w:t xml:space="preserve">e </w:t>
      </w:r>
      <w:r w:rsidR="00B80368">
        <w:rPr>
          <w:rFonts w:cs="Times New Roman"/>
          <w:szCs w:val="24"/>
        </w:rPr>
        <w:t xml:space="preserve">conducted sensitivity analysis and implemented </w:t>
      </w:r>
      <w:r>
        <w:rPr>
          <w:rFonts w:cs="Times New Roman"/>
          <w:szCs w:val="24"/>
        </w:rPr>
        <w:t>variations for several parameters</w:t>
      </w:r>
      <w:r w:rsidR="00B80368">
        <w:rPr>
          <w:rFonts w:cs="Times New Roman"/>
          <w:szCs w:val="24"/>
        </w:rPr>
        <w:t xml:space="preserve"> in our model</w:t>
      </w:r>
      <w:r>
        <w:rPr>
          <w:rFonts w:cs="Times New Roman"/>
          <w:szCs w:val="24"/>
        </w:rPr>
        <w:t xml:space="preserve">. </w:t>
      </w:r>
    </w:p>
    <w:p w14:paraId="3E88E2E5" w14:textId="1BF71541" w:rsidR="00035381" w:rsidRDefault="00565304">
      <w:pPr>
        <w:ind w:firstLineChars="100" w:firstLine="240"/>
        <w:rPr>
          <w:rFonts w:cs="Times New Roman"/>
          <w:szCs w:val="24"/>
        </w:rPr>
      </w:pPr>
      <w:r>
        <w:rPr>
          <w:rFonts w:cs="Times New Roman"/>
          <w:szCs w:val="24"/>
        </w:rPr>
        <w:t>We conducted a one-way deterministic sensitivity analysis to evaluate the impact of each of the parameters on cost-effectiveness. We applied ±25% variations to all costs</w:t>
      </w:r>
      <w:r w:rsidR="002B323B">
        <w:rPr>
          <w:rFonts w:cs="Times New Roman"/>
          <w:szCs w:val="24"/>
        </w:rPr>
        <w:t>, risk ratios, disease</w:t>
      </w:r>
      <w:r w:rsidR="002B323B" w:rsidRPr="00EB4E55">
        <w:rPr>
          <w:rFonts w:cs="Times New Roman"/>
          <w:szCs w:val="24"/>
        </w:rPr>
        <w:t>s</w:t>
      </w:r>
      <w:r w:rsidR="00B80368">
        <w:rPr>
          <w:rFonts w:cs="Times New Roman"/>
          <w:szCs w:val="24"/>
        </w:rPr>
        <w:t xml:space="preserve"> prevalence</w:t>
      </w:r>
      <w:r w:rsidR="002B323B">
        <w:rPr>
          <w:rFonts w:cs="Times New Roman"/>
          <w:szCs w:val="24"/>
        </w:rPr>
        <w:t xml:space="preserve">, utility weight of the diseases, </w:t>
      </w:r>
      <w:r>
        <w:rPr>
          <w:rFonts w:cs="Times New Roman"/>
          <w:szCs w:val="24"/>
        </w:rPr>
        <w:t>and appropriate variations to</w:t>
      </w:r>
      <w:r w:rsidR="002B323B">
        <w:rPr>
          <w:rFonts w:cs="Times New Roman"/>
          <w:szCs w:val="24"/>
        </w:rPr>
        <w:t xml:space="preserve"> QALY of the </w:t>
      </w:r>
      <w:r w:rsidR="00DD2F63">
        <w:rPr>
          <w:rFonts w:cs="Times New Roman"/>
          <w:szCs w:val="24"/>
        </w:rPr>
        <w:t xml:space="preserve">average </w:t>
      </w:r>
      <w:r w:rsidR="002B323B">
        <w:rPr>
          <w:rFonts w:cs="Times New Roman"/>
          <w:szCs w:val="24"/>
        </w:rPr>
        <w:t xml:space="preserve">healthy individuals. All variations in one-way sensitivity analysis were provided in Table 1. </w:t>
      </w:r>
      <w:r w:rsidR="00BA3385">
        <w:rPr>
          <w:rFonts w:cs="Times New Roman"/>
          <w:szCs w:val="24"/>
        </w:rPr>
        <w:t>Furthermore, s</w:t>
      </w:r>
      <w:r>
        <w:rPr>
          <w:rFonts w:cs="Times New Roman"/>
          <w:szCs w:val="24"/>
        </w:rPr>
        <w:t xml:space="preserve">everal scenarios were set to include the impact of </w:t>
      </w:r>
      <w:r w:rsidR="00FE3EBD">
        <w:rPr>
          <w:rFonts w:cs="Times New Roman"/>
          <w:szCs w:val="24"/>
        </w:rPr>
        <w:t xml:space="preserve">both </w:t>
      </w:r>
      <w:r>
        <w:rPr>
          <w:rFonts w:cs="Times New Roman"/>
          <w:szCs w:val="24"/>
        </w:rPr>
        <w:t>consumers' perception</w:t>
      </w:r>
      <w:r w:rsidR="00FE3EBD">
        <w:rPr>
          <w:rFonts w:cs="Times New Roman"/>
          <w:szCs w:val="24"/>
        </w:rPr>
        <w:t xml:space="preserve"> and</w:t>
      </w:r>
      <w:r>
        <w:rPr>
          <w:rFonts w:cs="Times New Roman"/>
          <w:szCs w:val="24"/>
        </w:rPr>
        <w:t xml:space="preserve"> discount rate.</w:t>
      </w:r>
    </w:p>
    <w:p w14:paraId="3E88E2E6" w14:textId="3C269C13" w:rsidR="00035381" w:rsidRDefault="00565304">
      <w:pPr>
        <w:ind w:firstLineChars="100" w:firstLine="240"/>
        <w:rPr>
          <w:rFonts w:cs="Times New Roman"/>
          <w:szCs w:val="24"/>
        </w:rPr>
      </w:pPr>
      <w:r>
        <w:rPr>
          <w:rFonts w:cs="Times New Roman"/>
          <w:szCs w:val="24"/>
        </w:rPr>
        <w:t xml:space="preserve">Furthermore, a micro-simulation model was conducted to capture the stochastic nature of events among individuals within the cohort to tackle the first-order uncertainty. Our Markov microsimulation model was run for 1000 cohorts. Second-order uncertainty was also considered in our study. We use probabilistic analysis to vary the parameters concurrently. The following parameters are adjusted with </w:t>
      </w:r>
      <w:r w:rsidR="00B33B35">
        <w:rPr>
          <w:rFonts w:cs="Times New Roman"/>
          <w:szCs w:val="24"/>
        </w:rPr>
        <w:t xml:space="preserve">a </w:t>
      </w:r>
      <w:r>
        <w:rPr>
          <w:rFonts w:cs="Times New Roman"/>
          <w:szCs w:val="24"/>
        </w:rPr>
        <w:t xml:space="preserve">range with variation (1) probability of pneumonia infection; (2) possibility of </w:t>
      </w:r>
      <w:r w:rsidR="003A0C76">
        <w:rPr>
          <w:rFonts w:cs="Times New Roman"/>
          <w:szCs w:val="24"/>
        </w:rPr>
        <w:t xml:space="preserve">persistent </w:t>
      </w:r>
      <w:r w:rsidR="00211991">
        <w:rPr>
          <w:rFonts w:cs="Times New Roman"/>
          <w:szCs w:val="24"/>
        </w:rPr>
        <w:t>IDA</w:t>
      </w:r>
      <w:r>
        <w:rPr>
          <w:rFonts w:cs="Times New Roman"/>
          <w:szCs w:val="24"/>
        </w:rPr>
        <w:t xml:space="preserve"> under different interventions; (3) cost</w:t>
      </w:r>
      <w:r w:rsidR="005B08B3">
        <w:rPr>
          <w:rFonts w:cs="Times New Roman"/>
          <w:szCs w:val="24"/>
        </w:rPr>
        <w:t>s</w:t>
      </w:r>
      <w:r>
        <w:rPr>
          <w:rFonts w:cs="Times New Roman"/>
          <w:szCs w:val="24"/>
        </w:rPr>
        <w:t xml:space="preserve"> of diseases; (4) cost</w:t>
      </w:r>
      <w:r w:rsidR="005B08B3">
        <w:rPr>
          <w:rFonts w:cs="Times New Roman"/>
          <w:szCs w:val="24"/>
        </w:rPr>
        <w:t>s</w:t>
      </w:r>
      <w:r>
        <w:rPr>
          <w:rFonts w:cs="Times New Roman"/>
          <w:szCs w:val="24"/>
        </w:rPr>
        <w:t xml:space="preserve"> of different intervention strategies; (5) efficacy of the interventions; (6) cost</w:t>
      </w:r>
      <w:r w:rsidR="00211991">
        <w:rPr>
          <w:rFonts w:cs="Times New Roman"/>
          <w:szCs w:val="24"/>
        </w:rPr>
        <w:t>s</w:t>
      </w:r>
      <w:r>
        <w:rPr>
          <w:rFonts w:cs="Times New Roman"/>
          <w:szCs w:val="24"/>
        </w:rPr>
        <w:t xml:space="preserve"> induced from consumers perception; (7) health outcomes</w:t>
      </w:r>
      <w:r w:rsidR="000E5F26">
        <w:rPr>
          <w:rFonts w:cs="Times New Roman"/>
          <w:szCs w:val="24"/>
        </w:rPr>
        <w:t xml:space="preserve"> (see Table2)</w:t>
      </w:r>
      <w:r>
        <w:rPr>
          <w:rFonts w:cs="Times New Roman"/>
          <w:szCs w:val="24"/>
        </w:rPr>
        <w:t>.</w:t>
      </w:r>
    </w:p>
    <w:p w14:paraId="3E88E2E7" w14:textId="70F72711" w:rsidR="00035381" w:rsidRDefault="00565304">
      <w:pPr>
        <w:ind w:firstLineChars="100" w:firstLine="240"/>
        <w:rPr>
          <w:rFonts w:cs="Times New Roman"/>
          <w:szCs w:val="24"/>
        </w:rPr>
      </w:pPr>
      <w:r>
        <w:rPr>
          <w:rFonts w:cs="Times New Roman"/>
          <w:szCs w:val="24"/>
        </w:rPr>
        <w:t xml:space="preserve">Following </w:t>
      </w:r>
      <w:r>
        <w:rPr>
          <w:rFonts w:cs="Times New Roman"/>
          <w:szCs w:val="24"/>
        </w:rPr>
        <w:fldChar w:fldCharType="begin" w:fldLock="1"/>
      </w:r>
      <w:r w:rsidR="009248AA">
        <w:rPr>
          <w:rFonts w:cs="Times New Roman"/>
          <w:szCs w:val="24"/>
        </w:rPr>
        <w:instrText>ADDIN CSL_CITATION {"citationItems":[{"id":"ITEM-1","itemData":{"ISSN":"0025-7079","author":[{"dropping-particle":"","family":"Tengs","given":"Tammy O","non-dropping-particle":"","parse-names":false,"suffix":""},{"dropping-particle":"","family":"Wallace","given":"Amy","non-dropping-particle":"","parse-names":false,"suffix":""}],"container-title":"Medical care","id":"ITEM-1","issue":"6","issued":{"date-parts":[["2000"]]},"page":"583-637","publisher":"JSTOR","title":"One thousand health-related quality-of-life estimates","type":"article-journal","volume":"38"},"uris":["http://www.mendeley.com/documents/?uuid=569e33e3-8340-4607-8c93-d992b528e335"]}],"mendeley":{"formattedCitation":"(Tengs and Wallace, 2000)","manualFormatting":"Tengs and Wallace (2000)","plainTextFormattedCitation":"(Tengs and Wallace, 2000)","previouslyFormattedCitation":"(Tengs and Wallace, 2000)"},"properties":{"noteIndex":0},"schema":"https://github.com/citation-style-language/schema/raw/master/csl-citation.json"}</w:instrText>
      </w:r>
      <w:r>
        <w:rPr>
          <w:rFonts w:cs="Times New Roman"/>
          <w:szCs w:val="24"/>
        </w:rPr>
        <w:fldChar w:fldCharType="separate"/>
      </w:r>
      <w:r>
        <w:rPr>
          <w:rFonts w:cs="Times New Roman"/>
          <w:noProof/>
          <w:szCs w:val="24"/>
        </w:rPr>
        <w:t xml:space="preserve">Tengs </w:t>
      </w:r>
      <w:r w:rsidR="00B23A31">
        <w:rPr>
          <w:rFonts w:cs="Times New Roman"/>
          <w:noProof/>
          <w:szCs w:val="24"/>
        </w:rPr>
        <w:t>and</w:t>
      </w:r>
      <w:r>
        <w:rPr>
          <w:rFonts w:cs="Times New Roman"/>
          <w:noProof/>
          <w:szCs w:val="24"/>
        </w:rPr>
        <w:t xml:space="preserve"> Wallace</w:t>
      </w:r>
      <w:r w:rsidR="00B33B35">
        <w:rPr>
          <w:rFonts w:cs="Times New Roman"/>
          <w:noProof/>
          <w:szCs w:val="24"/>
        </w:rPr>
        <w:t xml:space="preserve"> </w:t>
      </w:r>
      <w:r>
        <w:rPr>
          <w:rFonts w:cs="Times New Roman"/>
          <w:noProof/>
          <w:szCs w:val="24"/>
        </w:rPr>
        <w:t>(2000)</w:t>
      </w:r>
      <w:r>
        <w:rPr>
          <w:rFonts w:cs="Times New Roman"/>
          <w:szCs w:val="24"/>
        </w:rPr>
        <w:fldChar w:fldCharType="end"/>
      </w:r>
      <w:r>
        <w:rPr>
          <w:rFonts w:cs="Times New Roman"/>
          <w:szCs w:val="24"/>
        </w:rPr>
        <w:t xml:space="preserve">, we inferred the distribution of all costs by assuming a </w:t>
      </w:r>
      <w:r>
        <w:rPr>
          <w:rFonts w:eastAsia="DengXian" w:cs="Times New Roman"/>
          <w:szCs w:val="24"/>
        </w:rPr>
        <w:t>γ</w:t>
      </w:r>
      <w:r>
        <w:rPr>
          <w:rFonts w:cs="Times New Roman"/>
          <w:szCs w:val="24"/>
        </w:rPr>
        <w:t>-distribution, while we inferred probabilities and utilities by assuming a β-distribution</w:t>
      </w:r>
      <w:r w:rsidR="002B323B">
        <w:rPr>
          <w:rFonts w:cs="Times New Roman"/>
          <w:szCs w:val="24"/>
        </w:rPr>
        <w:t xml:space="preserve"> and estimate</w:t>
      </w:r>
      <w:r w:rsidR="005B08B3">
        <w:rPr>
          <w:rFonts w:cs="Times New Roman"/>
          <w:szCs w:val="24"/>
        </w:rPr>
        <w:t>d</w:t>
      </w:r>
      <w:r w:rsidR="002B323B">
        <w:rPr>
          <w:rFonts w:cs="Times New Roman"/>
          <w:szCs w:val="24"/>
        </w:rPr>
        <w:t xml:space="preserve"> the standard error (SE) that minimize the </w:t>
      </w:r>
      <w:r w:rsidR="005B08B3">
        <w:rPr>
          <w:rFonts w:cs="Times New Roman"/>
          <w:szCs w:val="24"/>
        </w:rPr>
        <w:t xml:space="preserve">sum of </w:t>
      </w:r>
      <w:r w:rsidR="002B323B">
        <w:rPr>
          <w:rFonts w:cs="Times New Roman"/>
          <w:szCs w:val="24"/>
        </w:rPr>
        <w:t>squared error in order to predict the</w:t>
      </w:r>
      <w:r w:rsidR="002B323B" w:rsidRPr="00A837C8">
        <w:rPr>
          <w:rFonts w:cs="Times New Roman"/>
          <w:szCs w:val="24"/>
        </w:rPr>
        <w:t xml:space="preserve"> population</w:t>
      </w:r>
      <w:r w:rsidR="002B323B">
        <w:rPr>
          <w:rFonts w:cs="Times New Roman"/>
          <w:szCs w:val="24"/>
        </w:rPr>
        <w:t>’s zinc intake distribution and the related health impacts</w:t>
      </w:r>
      <w:r w:rsidR="002B323B" w:rsidRPr="00A837C8">
        <w:rPr>
          <w:rFonts w:cs="Times New Roman"/>
          <w:szCs w:val="24"/>
        </w:rPr>
        <w:t>.</w:t>
      </w:r>
      <w:r>
        <w:rPr>
          <w:rFonts w:cs="Times New Roman"/>
          <w:szCs w:val="24"/>
        </w:rPr>
        <w:t xml:space="preserve"> </w:t>
      </w:r>
    </w:p>
    <w:p w14:paraId="3E88E2E8" w14:textId="77777777" w:rsidR="00035381" w:rsidRDefault="00035381">
      <w:pPr>
        <w:ind w:firstLine="480"/>
        <w:rPr>
          <w:rFonts w:cs="Times New Roman"/>
          <w:szCs w:val="24"/>
        </w:rPr>
      </w:pPr>
    </w:p>
    <w:p w14:paraId="3E88E2E9" w14:textId="073EECAB" w:rsidR="00035381" w:rsidRPr="00963381" w:rsidRDefault="00565304" w:rsidP="00792164">
      <w:pPr>
        <w:pStyle w:val="Heading1"/>
        <w:numPr>
          <w:ilvl w:val="0"/>
          <w:numId w:val="6"/>
        </w:numPr>
        <w:ind w:firstLineChars="0"/>
      </w:pPr>
      <w:r w:rsidRPr="00963381">
        <w:t>Results</w:t>
      </w:r>
      <w:r w:rsidR="00322E35">
        <w:t xml:space="preserve"> and discussion</w:t>
      </w:r>
    </w:p>
    <w:p w14:paraId="3E88E2EA" w14:textId="30E4C571" w:rsidR="00035381" w:rsidRDefault="00936FC0">
      <w:pPr>
        <w:ind w:firstLineChars="100" w:firstLine="240"/>
        <w:rPr>
          <w:rFonts w:cs="Times New Roman"/>
          <w:szCs w:val="24"/>
        </w:rPr>
      </w:pPr>
      <w:r>
        <w:rPr>
          <w:rFonts w:cs="Times New Roman"/>
          <w:szCs w:val="24"/>
        </w:rPr>
        <w:t>This section presents</w:t>
      </w:r>
      <w:r w:rsidR="00565304">
        <w:rPr>
          <w:rFonts w:cs="Times New Roman"/>
          <w:szCs w:val="24"/>
        </w:rPr>
        <w:t xml:space="preserve"> the results </w:t>
      </w:r>
      <w:r>
        <w:rPr>
          <w:rFonts w:cs="Times New Roman"/>
          <w:szCs w:val="24"/>
        </w:rPr>
        <w:t xml:space="preserve">and implications </w:t>
      </w:r>
      <w:r w:rsidR="00565304">
        <w:rPr>
          <w:rFonts w:cs="Times New Roman"/>
          <w:szCs w:val="24"/>
        </w:rPr>
        <w:t>of our decision analytic model, including the cost-effectiveness analysis</w:t>
      </w:r>
      <w:r w:rsidR="002C559D">
        <w:rPr>
          <w:rFonts w:cs="Times New Roman"/>
          <w:szCs w:val="24"/>
        </w:rPr>
        <w:t xml:space="preserve"> of the </w:t>
      </w:r>
      <w:r w:rsidR="00F55927">
        <w:rPr>
          <w:rFonts w:cs="Times New Roman"/>
          <w:szCs w:val="24"/>
        </w:rPr>
        <w:t>interventions</w:t>
      </w:r>
      <w:r w:rsidR="00565304">
        <w:rPr>
          <w:rFonts w:cs="Times New Roman"/>
          <w:szCs w:val="24"/>
        </w:rPr>
        <w:t xml:space="preserve">, the deterministic sensitivity analysis (i.e., one-way sensitivity analysis and scenario analysis), and </w:t>
      </w:r>
      <w:r w:rsidR="001D0D38">
        <w:rPr>
          <w:rFonts w:cs="Times New Roman"/>
          <w:szCs w:val="24"/>
        </w:rPr>
        <w:t xml:space="preserve">the </w:t>
      </w:r>
      <w:r w:rsidR="00565304">
        <w:rPr>
          <w:rFonts w:cs="Times New Roman"/>
          <w:szCs w:val="24"/>
        </w:rPr>
        <w:t>probabilistic sensitivity analysis.</w:t>
      </w:r>
    </w:p>
    <w:p w14:paraId="21F10DCD" w14:textId="77777777" w:rsidR="001D0D38" w:rsidRDefault="001D0D38">
      <w:pPr>
        <w:ind w:firstLineChars="100" w:firstLine="240"/>
        <w:rPr>
          <w:rFonts w:cs="Times New Roman"/>
          <w:szCs w:val="24"/>
        </w:rPr>
      </w:pPr>
    </w:p>
    <w:p w14:paraId="3E88E2EC" w14:textId="498B3C47" w:rsidR="00035381" w:rsidRDefault="00565304" w:rsidP="006B19E1">
      <w:pPr>
        <w:pStyle w:val="Subtitle"/>
        <w:ind w:firstLine="480"/>
      </w:pPr>
      <w:r>
        <w:t xml:space="preserve">Cost-effectiveness of the </w:t>
      </w:r>
      <w:r w:rsidR="00F55927">
        <w:t>i</w:t>
      </w:r>
      <w:r w:rsidR="00F55927">
        <w:rPr>
          <w:rFonts w:cs="Times New Roman"/>
          <w:szCs w:val="24"/>
        </w:rPr>
        <w:t>nterventions</w:t>
      </w:r>
    </w:p>
    <w:p w14:paraId="3E88E2ED" w14:textId="22A84C09" w:rsidR="00035381" w:rsidRDefault="00565304">
      <w:pPr>
        <w:ind w:firstLineChars="100" w:firstLine="240"/>
        <w:rPr>
          <w:rFonts w:cs="Times New Roman"/>
          <w:szCs w:val="24"/>
        </w:rPr>
      </w:pPr>
      <w:r>
        <w:rPr>
          <w:rFonts w:cs="Times New Roman"/>
          <w:szCs w:val="24"/>
        </w:rPr>
        <w:t xml:space="preserve">We compared the ICERs of the </w:t>
      </w:r>
      <w:r w:rsidR="00F83C78">
        <w:rPr>
          <w:rFonts w:cs="Times New Roman" w:hint="eastAsia"/>
          <w:szCs w:val="24"/>
        </w:rPr>
        <w:t>four</w:t>
      </w:r>
      <w:r w:rsidR="00F55927">
        <w:rPr>
          <w:rFonts w:cs="Times New Roman"/>
          <w:szCs w:val="24"/>
        </w:rPr>
        <w:t xml:space="preserve"> interventions</w:t>
      </w:r>
      <w:r>
        <w:rPr>
          <w:rFonts w:cs="Times New Roman"/>
          <w:szCs w:val="24"/>
        </w:rPr>
        <w:t>, i.e., zinc supplementation, food fortification, biofortification with breeding techniques, and biofortification with an agronomic approach</w:t>
      </w:r>
      <w:r w:rsidR="00F83C78">
        <w:rPr>
          <w:rFonts w:cs="Times New Roman"/>
          <w:szCs w:val="24"/>
        </w:rPr>
        <w:t xml:space="preserve"> (no intervention as the baseline)</w:t>
      </w:r>
      <w:r>
        <w:rPr>
          <w:rFonts w:cs="Times New Roman"/>
          <w:szCs w:val="24"/>
        </w:rPr>
        <w:t xml:space="preserve">. The results </w:t>
      </w:r>
      <w:r w:rsidR="00C51AE2">
        <w:rPr>
          <w:rFonts w:cs="Times New Roman"/>
          <w:szCs w:val="24"/>
        </w:rPr>
        <w:t xml:space="preserve">were </w:t>
      </w:r>
      <w:r>
        <w:rPr>
          <w:rFonts w:cs="Times New Roman"/>
          <w:szCs w:val="24"/>
        </w:rPr>
        <w:t xml:space="preserve">presented in Table </w:t>
      </w:r>
      <w:r w:rsidR="0038472D">
        <w:rPr>
          <w:rFonts w:cs="Times New Roman"/>
          <w:szCs w:val="24"/>
        </w:rPr>
        <w:t>2</w:t>
      </w:r>
      <w:r>
        <w:rPr>
          <w:rFonts w:cs="Times New Roman"/>
          <w:szCs w:val="24"/>
        </w:rPr>
        <w:t>. We judged the cost-effectiveness of the interventions based on the willingness-to-pay threshold,</w:t>
      </w:r>
      <w:r w:rsidRPr="00D958B4">
        <w:rPr>
          <w:rFonts w:cs="Times New Roman"/>
          <w:szCs w:val="24"/>
        </w:rPr>
        <w:t xml:space="preserve"> which is the </w:t>
      </w:r>
      <w:r w:rsidR="00A76D10" w:rsidRPr="00D958B4">
        <w:rPr>
          <w:rFonts w:cs="Times New Roman"/>
          <w:szCs w:val="24"/>
        </w:rPr>
        <w:t>policymakers’</w:t>
      </w:r>
      <w:r w:rsidRPr="00D958B4">
        <w:rPr>
          <w:rFonts w:cs="Times New Roman"/>
          <w:szCs w:val="24"/>
        </w:rPr>
        <w:t xml:space="preserve"> maximum willingness to pay for a unit of health outcome. </w:t>
      </w:r>
    </w:p>
    <w:p w14:paraId="2F991D7E" w14:textId="7D79D4F9" w:rsidR="00D87AC1" w:rsidRDefault="00565304" w:rsidP="00D87AC1">
      <w:pPr>
        <w:ind w:firstLineChars="100" w:firstLine="240"/>
        <w:rPr>
          <w:rFonts w:cs="Times New Roman"/>
          <w:szCs w:val="24"/>
        </w:rPr>
      </w:pPr>
      <w:r>
        <w:rPr>
          <w:rFonts w:cs="Times New Roman"/>
          <w:szCs w:val="24"/>
        </w:rPr>
        <w:lastRenderedPageBreak/>
        <w:t>Compared</w:t>
      </w:r>
      <w:r w:rsidR="00451196" w:rsidRPr="00383665">
        <w:rPr>
          <w:rFonts w:cs="Times New Roman"/>
          <w:szCs w:val="24"/>
        </w:rPr>
        <w:t xml:space="preserve"> with</w:t>
      </w:r>
      <w:r w:rsidR="009B580D">
        <w:rPr>
          <w:rFonts w:cs="Times New Roman"/>
          <w:szCs w:val="24"/>
        </w:rPr>
        <w:t xml:space="preserve"> the</w:t>
      </w:r>
      <w:r w:rsidR="00AA48FB">
        <w:rPr>
          <w:rFonts w:cs="Times New Roman"/>
          <w:szCs w:val="24"/>
        </w:rPr>
        <w:t xml:space="preserve"> benchmark (</w:t>
      </w:r>
      <w:r>
        <w:rPr>
          <w:rFonts w:cs="Times New Roman"/>
          <w:szCs w:val="24"/>
        </w:rPr>
        <w:t>no intervention</w:t>
      </w:r>
      <w:r w:rsidR="00AA48FB">
        <w:rPr>
          <w:rFonts w:cs="Times New Roman"/>
          <w:szCs w:val="24"/>
        </w:rPr>
        <w:t>)</w:t>
      </w:r>
      <w:r>
        <w:rPr>
          <w:rFonts w:cs="Times New Roman"/>
          <w:szCs w:val="24"/>
        </w:rPr>
        <w:t xml:space="preserve">, </w:t>
      </w:r>
      <w:r w:rsidR="000A75F6">
        <w:rPr>
          <w:rFonts w:cs="Times New Roman"/>
          <w:szCs w:val="24"/>
        </w:rPr>
        <w:t xml:space="preserve">zinc supplementation, </w:t>
      </w:r>
      <w:r>
        <w:rPr>
          <w:rFonts w:cs="Times New Roman"/>
          <w:szCs w:val="24"/>
        </w:rPr>
        <w:t xml:space="preserve">fortification and biofortification </w:t>
      </w:r>
      <w:r w:rsidR="00AA48FB">
        <w:rPr>
          <w:rFonts w:cs="Times New Roman"/>
          <w:szCs w:val="24"/>
        </w:rPr>
        <w:t xml:space="preserve">would </w:t>
      </w:r>
      <w:r w:rsidR="000A75F6">
        <w:rPr>
          <w:rFonts w:cs="Times New Roman"/>
          <w:szCs w:val="24"/>
        </w:rPr>
        <w:t>all</w:t>
      </w:r>
      <w:r w:rsidR="00F375D7">
        <w:rPr>
          <w:rFonts w:cs="Times New Roman"/>
          <w:szCs w:val="24"/>
        </w:rPr>
        <w:t xml:space="preserve"> </w:t>
      </w:r>
      <w:r w:rsidR="00AA48FB">
        <w:rPr>
          <w:rFonts w:cs="Times New Roman"/>
          <w:szCs w:val="24"/>
        </w:rPr>
        <w:t xml:space="preserve">be </w:t>
      </w:r>
      <w:r w:rsidR="00616FC6">
        <w:rPr>
          <w:rFonts w:cs="Times New Roman"/>
          <w:szCs w:val="24"/>
        </w:rPr>
        <w:t xml:space="preserve">highly </w:t>
      </w:r>
      <w:r>
        <w:rPr>
          <w:rFonts w:cs="Times New Roman"/>
          <w:szCs w:val="24"/>
        </w:rPr>
        <w:t>cost-effective interventions</w:t>
      </w:r>
      <w:r w:rsidR="00AA48FB">
        <w:rPr>
          <w:rFonts w:cs="Times New Roman"/>
          <w:szCs w:val="24"/>
        </w:rPr>
        <w:t xml:space="preserve"> that </w:t>
      </w:r>
      <w:r w:rsidR="00451196">
        <w:rPr>
          <w:rFonts w:cs="Times New Roman"/>
          <w:szCs w:val="24"/>
        </w:rPr>
        <w:t xml:space="preserve">could </w:t>
      </w:r>
      <w:r>
        <w:rPr>
          <w:rFonts w:cs="Times New Roman"/>
          <w:szCs w:val="24"/>
        </w:rPr>
        <w:t>provide QALY gains</w:t>
      </w:r>
      <w:r w:rsidR="000A75F6">
        <w:rPr>
          <w:rFonts w:cs="Times New Roman"/>
          <w:szCs w:val="24"/>
        </w:rPr>
        <w:t xml:space="preserve"> </w:t>
      </w:r>
      <w:r w:rsidR="00AA48FB">
        <w:rPr>
          <w:rFonts w:cs="Times New Roman"/>
          <w:szCs w:val="24"/>
        </w:rPr>
        <w:t xml:space="preserve">at an </w:t>
      </w:r>
      <w:r w:rsidR="000A75F6">
        <w:rPr>
          <w:rFonts w:cs="Times New Roman"/>
          <w:szCs w:val="24"/>
        </w:rPr>
        <w:t>acceptable cost, or even</w:t>
      </w:r>
      <w:r w:rsidR="00451196">
        <w:rPr>
          <w:rFonts w:cs="Times New Roman"/>
          <w:szCs w:val="24"/>
        </w:rPr>
        <w:t xml:space="preserve"> at</w:t>
      </w:r>
      <w:r w:rsidR="000A75F6">
        <w:rPr>
          <w:rFonts w:cs="Times New Roman"/>
          <w:szCs w:val="24"/>
        </w:rPr>
        <w:t xml:space="preserve"> </w:t>
      </w:r>
      <w:r w:rsidR="00AA48FB">
        <w:rPr>
          <w:rFonts w:cs="Times New Roman"/>
          <w:szCs w:val="24"/>
        </w:rPr>
        <w:t xml:space="preserve">a reduced </w:t>
      </w:r>
      <w:r w:rsidR="000A75F6">
        <w:rPr>
          <w:rFonts w:cs="Times New Roman"/>
          <w:szCs w:val="24"/>
        </w:rPr>
        <w:t>cost</w:t>
      </w:r>
      <w:r>
        <w:rPr>
          <w:rFonts w:cs="Times New Roman"/>
          <w:szCs w:val="24"/>
        </w:rPr>
        <w:t xml:space="preserve">. </w:t>
      </w:r>
      <w:r w:rsidR="00997198">
        <w:rPr>
          <w:rFonts w:cs="Times New Roman"/>
          <w:szCs w:val="24"/>
        </w:rPr>
        <w:t xml:space="preserve">In </w:t>
      </w:r>
      <w:r>
        <w:rPr>
          <w:rFonts w:cs="Times New Roman"/>
          <w:szCs w:val="24"/>
        </w:rPr>
        <w:t>the 10-year model,</w:t>
      </w:r>
      <w:r w:rsidR="00F375D7" w:rsidRPr="00F375D7">
        <w:rPr>
          <w:rFonts w:cs="Times New Roman"/>
          <w:szCs w:val="24"/>
        </w:rPr>
        <w:t xml:space="preserve"> </w:t>
      </w:r>
      <w:r w:rsidR="00807856">
        <w:rPr>
          <w:rFonts w:cs="Times New Roman"/>
          <w:szCs w:val="24"/>
        </w:rPr>
        <w:t xml:space="preserve">compared with supplementation or food fortification, </w:t>
      </w:r>
      <w:r w:rsidR="00F375D7">
        <w:rPr>
          <w:rFonts w:cs="Times New Roman"/>
          <w:szCs w:val="24"/>
        </w:rPr>
        <w:t>biofortification, especially when developed through breeding, is considered the most cost-effective method to alleviate zinc deficiency among the Chinese population</w:t>
      </w:r>
      <w:r>
        <w:rPr>
          <w:rFonts w:cs="Times New Roman"/>
          <w:szCs w:val="24"/>
        </w:rPr>
        <w:t xml:space="preserve">, resulting in the largest QALY </w:t>
      </w:r>
      <w:r w:rsidR="00451196">
        <w:rPr>
          <w:rFonts w:cs="Times New Roman"/>
          <w:szCs w:val="24"/>
        </w:rPr>
        <w:t xml:space="preserve">at </w:t>
      </w:r>
      <w:r>
        <w:rPr>
          <w:rFonts w:cs="Times New Roman"/>
          <w:szCs w:val="24"/>
        </w:rPr>
        <w:t xml:space="preserve">the </w:t>
      </w:r>
      <w:r w:rsidR="00AA48FB">
        <w:rPr>
          <w:rFonts w:cs="Times New Roman"/>
          <w:szCs w:val="24"/>
        </w:rPr>
        <w:t xml:space="preserve">lowest </w:t>
      </w:r>
      <w:r>
        <w:rPr>
          <w:rFonts w:cs="Times New Roman"/>
          <w:szCs w:val="24"/>
        </w:rPr>
        <w:t>cost.</w:t>
      </w:r>
      <w:bookmarkStart w:id="17" w:name="_Hlk134400803"/>
      <w:r w:rsidR="001A5129" w:rsidRPr="001A5129">
        <w:t xml:space="preserve"> </w:t>
      </w:r>
      <w:bookmarkEnd w:id="17"/>
      <w:r w:rsidR="009F0208" w:rsidRPr="009F0208">
        <w:rPr>
          <w:rFonts w:cs="Times New Roman"/>
          <w:szCs w:val="24"/>
        </w:rPr>
        <w:t>If biofortification is implemented using breeding techniques and 45% compliance is achieved, the intervention would save USD 14.22 and gain 0.03 QALY per person per year. The ICER of the interventions shows that in the base scenario, all four interventions can be regarded as cost-effective since the ICER is lower than the threshold of 11943 USD. Compared with other zinc interventions, biofortification using breeding techniques could cost 172</w:t>
      </w:r>
      <w:r w:rsidR="00BA6EA8">
        <w:rPr>
          <w:rFonts w:cs="Times New Roman"/>
          <w:szCs w:val="24"/>
        </w:rPr>
        <w:t>2</w:t>
      </w:r>
      <w:r w:rsidR="009F0208" w:rsidRPr="009F0208">
        <w:rPr>
          <w:rFonts w:cs="Times New Roman"/>
          <w:szCs w:val="24"/>
        </w:rPr>
        <w:t xml:space="preserve"> USD less per QALY gained than supplementation, and induce </w:t>
      </w:r>
      <w:r w:rsidR="00BA5014">
        <w:rPr>
          <w:rFonts w:cs="Times New Roman"/>
          <w:szCs w:val="24"/>
        </w:rPr>
        <w:t>55</w:t>
      </w:r>
      <w:r w:rsidR="009F0208" w:rsidRPr="009F0208">
        <w:rPr>
          <w:rFonts w:cs="Times New Roman"/>
          <w:szCs w:val="24"/>
        </w:rPr>
        <w:t xml:space="preserve"> USD more in cost savings per QALY gained than food fortification.</w:t>
      </w:r>
      <w:r w:rsidR="009F0208">
        <w:rPr>
          <w:rFonts w:cs="Times New Roman"/>
          <w:szCs w:val="24"/>
        </w:rPr>
        <w:t xml:space="preserve"> </w:t>
      </w:r>
      <w:r w:rsidR="00B144D2" w:rsidRPr="00954F09">
        <w:rPr>
          <w:rFonts w:cs="Times New Roman"/>
          <w:szCs w:val="24"/>
        </w:rPr>
        <w:t>Despite</w:t>
      </w:r>
      <w:r w:rsidR="00D87AC1" w:rsidRPr="00954F09">
        <w:rPr>
          <w:rFonts w:cs="Times New Roman"/>
          <w:szCs w:val="24"/>
        </w:rPr>
        <w:t xml:space="preserve"> the methodological differences with previous economic evaluation studies, our</w:t>
      </w:r>
      <w:r w:rsidR="009F34B2" w:rsidRPr="00954F09">
        <w:rPr>
          <w:rFonts w:cs="Times New Roman"/>
          <w:szCs w:val="24"/>
        </w:rPr>
        <w:t xml:space="preserve"> results are generally consistent with the </w:t>
      </w:r>
      <w:r w:rsidR="00AA48FB" w:rsidRPr="00954F09">
        <w:rPr>
          <w:rFonts w:cs="Times New Roman"/>
          <w:szCs w:val="24"/>
        </w:rPr>
        <w:t xml:space="preserve">zinc </w:t>
      </w:r>
      <w:r w:rsidR="009F34B2" w:rsidRPr="00954F09">
        <w:rPr>
          <w:rFonts w:cs="Times New Roman"/>
          <w:szCs w:val="24"/>
        </w:rPr>
        <w:t xml:space="preserve">studies by </w:t>
      </w:r>
      <w:r w:rsidR="009F34B2" w:rsidRPr="00954F09">
        <w:rPr>
          <w:rFonts w:cs="Times New Roman"/>
          <w:szCs w:val="24"/>
        </w:rPr>
        <w:fldChar w:fldCharType="begin" w:fldLock="1"/>
      </w:r>
      <w:r w:rsidR="00010E6A" w:rsidRPr="00954F09">
        <w:rPr>
          <w:rFonts w:cs="Times New Roman"/>
          <w:szCs w:val="24"/>
        </w:rPr>
        <w:instrText>ADDIN CSL_CITATION {"citationItems":[{"id":"ITEM-1","itemData":{"DOI":"10.3390/nu9050465","ISSN":"20726643","PMID":"28481273","abstract":"Zinc (Zn) deficiency is a common disorder of humans in developing countries. The effect of Zn biofortification (via application of six rates of Zn fertilizer to soil) on Zn bioavailability in wheat grain and flour and its impacts on human health was evaluated. Zn bioavailability was estimated with a trivariate model that included Zn homeostasis in the human intestine. As the rate of Zn fertilization increased, the Zn concentration increased in all flour fractions, but the percentages of Zn in standard flour (25%) and bran (75%) relative to total grain Zn were constant. Phytic acid (PA) concentrations in grain and flours were unaffected by Zn biofortification. Zn bioavailability and the health impact, as indicated by disability-adjusted life years (DALYs) saved, increased with the Zn application rate and were greater in standard and refined flour than in whole grain and coarse flour. The biofortified standard and refined flour obtained with application of 50 kg/ha ZnSO4 ·7H2O met the health requirement (3 mg of Zn obtained from 300 g of wheat flour) and reduced DALYs by &gt;20%. Although Zn biofortification increased Zn bioavailability in standard and refined flour, it did not reduce the bioavailability of iron, manganese, or copper in wheat flour.","author":[{"dropping-particle":"","family":"Liu","given":"Dunyi","non-dropping-particle":"","parse-names":false,"suffix":""},{"dropping-particle":"","family":"Liu","given":"Yumin","non-dropping-particle":"","parse-names":false,"suffix":""},{"dropping-particle":"","family":"Zhang","given":"Wei","non-dropping-particle":"","parse-names":false,"suffix":""},{"dropping-particle":"","family":"Chen","given":"Xinping","non-dropping-particle":"","parse-names":false,"suffix":""},{"dropping-particle":"","family":"Zou","given":"Chunqin","non-dropping-particle":"","parse-names":false,"suffix":""}],"container-title":"Nutrients","id":"ITEM-1","issue":"5","issued":{"date-parts":[["2017"]]},"page":"465","title":"Agronomic approach of zinc biofortification can increase zinc bioavailability in wheat flour and thereby reduce zinc deficiency in humans","type":"article-journal","volume":"9"},"uris":["http://www.mendeley.com/documents/?uuid=aa359c38-b7bb-4511-97ae-aee2bca685eb"]}],"mendeley":{"formattedCitation":"(Liu &lt;i&gt;et al.&lt;/i&gt;, 2017)","manualFormatting":"Liu et al. (2017)","plainTextFormattedCitation":"(Liu et al., 2017)","previouslyFormattedCitation":"(Liu &lt;i&gt;et al.&lt;/i&gt;, 2017)"},"properties":{"noteIndex":0},"schema":"https://github.com/citation-style-language/schema/raw/master/csl-citation.json"}</w:instrText>
      </w:r>
      <w:r w:rsidR="009F34B2" w:rsidRPr="00954F09">
        <w:rPr>
          <w:rFonts w:cs="Times New Roman"/>
          <w:szCs w:val="24"/>
        </w:rPr>
        <w:fldChar w:fldCharType="separate"/>
      </w:r>
      <w:r w:rsidR="009F34B2" w:rsidRPr="00383665">
        <w:rPr>
          <w:rFonts w:cs="Times New Roman"/>
          <w:noProof/>
          <w:szCs w:val="24"/>
        </w:rPr>
        <w:t>Liu et al. (2017)</w:t>
      </w:r>
      <w:r w:rsidR="009F34B2" w:rsidRPr="00954F09">
        <w:rPr>
          <w:rFonts w:cs="Times New Roman"/>
          <w:szCs w:val="24"/>
        </w:rPr>
        <w:fldChar w:fldCharType="end"/>
      </w:r>
      <w:r w:rsidR="009F34B2" w:rsidRPr="00954F09">
        <w:rPr>
          <w:rFonts w:cs="Times New Roman"/>
          <w:szCs w:val="24"/>
        </w:rPr>
        <w:t xml:space="preserve"> and</w:t>
      </w:r>
      <w:r w:rsidR="009F34B2" w:rsidRPr="00954F09">
        <w:rPr>
          <w:rFonts w:cs="Times New Roman"/>
          <w:szCs w:val="24"/>
        </w:rPr>
        <w:fldChar w:fldCharType="begin" w:fldLock="1"/>
      </w:r>
      <w:r w:rsidR="00F417F3" w:rsidRPr="00954F09">
        <w:rPr>
          <w:rFonts w:cs="Times New Roman"/>
          <w:szCs w:val="24"/>
        </w:rPr>
        <w:instrText>ADDIN CSL_CITATION {"citationItems":[{"id":"ITEM-1","itemData":{"ISSN":"1475-2727","author":[{"dropping-particle":"","family":"Ma","given":"Guansheng","non-dropping-particle":"","parse-names":false,"suffix":""},{"dropping-particle":"","family":"Jin","given":"Ying","non-dropping-particle":"","parse-names":false,"suffix":""},{"dropping-particle":"","family":"Li","given":"Yanping","non-dropping-particle":"","parse-names":false,"suffix":""},{"dropping-particle":"","family":"Zhai","given":"Fengying","non-dropping-particle":"","parse-names":false,"suffix":""},{"dropping-particle":"","family":"Kok","given":"Frans J","non-dropping-particle":"","parse-names":false,"suffix":""},{"dropping-particle":"","family":"Jacobsen","given":"Evert","non-dropping-particle":"","parse-names":false,"suffix":""},{"dropping-particle":"","family":"Yang","given":"Xiaoguang","non-dropping-particle":"","parse-names":false,"suffix":""}],"container-title":"Public Health Nutrition","id":"ITEM-1","issue":"6","issued":{"date-parts":[["2008"]]},"page":"632-638","publisher":"Cambridge University Press","title":"Iron and zinc deficiencies in China: what is a feasible and cost-effective strategy?","type":"article-journal","volume":"11"},"uris":["http://www.mendeley.com/documents/?uuid=fba5f357-eb9f-4b90-900a-d4dcb774a753"]}],"mendeley":{"formattedCitation":"(Ma, Jin, Li, Zhai, Frans J Kok, &lt;i&gt;et al.&lt;/i&gt;, 2008)","manualFormatting":" Ma et al. (2008)","plainTextFormattedCitation":"(Ma, Jin, Li, Zhai, Frans J Kok, et al., 2008)","previouslyFormattedCitation":"(Ma, Jin, Li, Zhai, Frans J Kok, &lt;i&gt;et al.&lt;/i&gt;, 2008)"},"properties":{"noteIndex":0},"schema":"https://github.com/citation-style-language/schema/raw/master/csl-citation.json"}</w:instrText>
      </w:r>
      <w:r w:rsidR="009F34B2" w:rsidRPr="00954F09">
        <w:rPr>
          <w:rFonts w:cs="Times New Roman"/>
          <w:szCs w:val="24"/>
        </w:rPr>
        <w:fldChar w:fldCharType="separate"/>
      </w:r>
      <w:r w:rsidR="009F34B2" w:rsidRPr="00383665">
        <w:rPr>
          <w:rFonts w:cs="Times New Roman"/>
          <w:noProof/>
          <w:szCs w:val="24"/>
        </w:rPr>
        <w:t xml:space="preserve"> Ma et al. (2008)</w:t>
      </w:r>
      <w:r w:rsidR="009F34B2" w:rsidRPr="00954F09">
        <w:rPr>
          <w:rFonts w:cs="Times New Roman"/>
          <w:szCs w:val="24"/>
        </w:rPr>
        <w:fldChar w:fldCharType="end"/>
      </w:r>
      <w:r w:rsidR="009F34B2" w:rsidRPr="00954F09">
        <w:rPr>
          <w:rFonts w:cs="Times New Roman"/>
          <w:szCs w:val="24"/>
        </w:rPr>
        <w:t xml:space="preserve">, </w:t>
      </w:r>
      <w:r w:rsidR="00D87AC1" w:rsidRPr="00954F09">
        <w:rPr>
          <w:rFonts w:cs="Times New Roman"/>
          <w:szCs w:val="24"/>
        </w:rPr>
        <w:t xml:space="preserve">indicating that the benefits </w:t>
      </w:r>
      <w:r w:rsidR="00451196">
        <w:rPr>
          <w:rFonts w:cs="Times New Roman"/>
          <w:szCs w:val="24"/>
        </w:rPr>
        <w:t>of</w:t>
      </w:r>
      <w:r w:rsidR="00D87AC1" w:rsidRPr="00954F09">
        <w:rPr>
          <w:rFonts w:cs="Times New Roman"/>
          <w:szCs w:val="24"/>
        </w:rPr>
        <w:t xml:space="preserve"> long-term, large-scale zinc food fortification and biofortification outweigh the losses for the Chinese population.</w:t>
      </w:r>
      <w:r w:rsidR="00D87AC1">
        <w:rPr>
          <w:rFonts w:cs="Times New Roman"/>
          <w:szCs w:val="24"/>
        </w:rPr>
        <w:t xml:space="preserve"> </w:t>
      </w:r>
    </w:p>
    <w:p w14:paraId="3E88E2EF" w14:textId="77777777" w:rsidR="00035381" w:rsidRPr="006D3A11" w:rsidRDefault="00035381">
      <w:pPr>
        <w:ind w:firstLine="480"/>
        <w:jc w:val="left"/>
        <w:rPr>
          <w:rFonts w:cs="Times New Roman"/>
          <w:szCs w:val="24"/>
        </w:rPr>
      </w:pPr>
    </w:p>
    <w:p w14:paraId="7BB5BE8E" w14:textId="65776AAB" w:rsidR="00792164" w:rsidRPr="00792164" w:rsidRDefault="00565304" w:rsidP="00792164">
      <w:pPr>
        <w:ind w:firstLineChars="0" w:firstLine="0"/>
        <w:jc w:val="center"/>
        <w:rPr>
          <w:rFonts w:eastAsiaTheme="minorEastAsia" w:cs="Times New Roman"/>
          <w:b/>
          <w:bCs/>
          <w:szCs w:val="24"/>
          <w:vertAlign w:val="superscript"/>
        </w:rPr>
      </w:pPr>
      <w:r w:rsidRPr="0038472D">
        <w:rPr>
          <w:rFonts w:cs="Times New Roman"/>
          <w:b/>
          <w:bCs/>
          <w:szCs w:val="24"/>
        </w:rPr>
        <w:t xml:space="preserve">Table </w:t>
      </w:r>
      <w:r w:rsidR="0038472D" w:rsidRPr="0038472D">
        <w:rPr>
          <w:rFonts w:cs="Times New Roman"/>
          <w:b/>
          <w:bCs/>
          <w:szCs w:val="24"/>
        </w:rPr>
        <w:t>2</w:t>
      </w:r>
      <w:r w:rsidR="00D46F52" w:rsidRPr="0038472D">
        <w:rPr>
          <w:rFonts w:cs="Times New Roman"/>
          <w:b/>
          <w:bCs/>
          <w:szCs w:val="24"/>
        </w:rPr>
        <w:t>.</w:t>
      </w:r>
      <w:r w:rsidRPr="0038472D">
        <w:rPr>
          <w:rFonts w:cs="Times New Roman"/>
          <w:b/>
          <w:bCs/>
          <w:szCs w:val="24"/>
        </w:rPr>
        <w:t xml:space="preserve"> Cost</w:t>
      </w:r>
      <w:r w:rsidRPr="00963381">
        <w:rPr>
          <w:rFonts w:cs="Times New Roman"/>
          <w:b/>
          <w:bCs/>
          <w:szCs w:val="24"/>
        </w:rPr>
        <w:t>-effectiveness of different zinc interventions in base scenario</w:t>
      </w:r>
      <w:r w:rsidRPr="00963381">
        <w:rPr>
          <w:rFonts w:cs="Times New Roman"/>
          <w:b/>
          <w:bCs/>
          <w:szCs w:val="24"/>
          <w:vertAlign w:val="superscript"/>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714"/>
        <w:gridCol w:w="992"/>
        <w:gridCol w:w="1129"/>
        <w:gridCol w:w="1418"/>
        <w:gridCol w:w="1701"/>
      </w:tblGrid>
      <w:tr w:rsidR="00792164" w14:paraId="08628F63" w14:textId="77777777" w:rsidTr="009B7CB4">
        <w:tc>
          <w:tcPr>
            <w:tcW w:w="2263" w:type="dxa"/>
            <w:tcBorders>
              <w:top w:val="single" w:sz="4" w:space="0" w:color="auto"/>
              <w:bottom w:val="single" w:sz="4" w:space="0" w:color="auto"/>
            </w:tcBorders>
          </w:tcPr>
          <w:p w14:paraId="065C5356" w14:textId="77777777" w:rsidR="00792164" w:rsidRPr="0004204D" w:rsidRDefault="00792164" w:rsidP="009B7CB4">
            <w:pPr>
              <w:ind w:firstLineChars="0" w:firstLine="0"/>
              <w:jc w:val="left"/>
              <w:rPr>
                <w:rFonts w:cs="Times New Roman"/>
                <w:sz w:val="18"/>
                <w:szCs w:val="18"/>
              </w:rPr>
            </w:pPr>
          </w:p>
        </w:tc>
        <w:tc>
          <w:tcPr>
            <w:tcW w:w="714" w:type="dxa"/>
            <w:tcBorders>
              <w:top w:val="single" w:sz="4" w:space="0" w:color="auto"/>
              <w:bottom w:val="single" w:sz="4" w:space="0" w:color="auto"/>
            </w:tcBorders>
          </w:tcPr>
          <w:p w14:paraId="1EF5C690" w14:textId="77777777" w:rsidR="00792164" w:rsidRPr="0004204D" w:rsidRDefault="00792164" w:rsidP="009B7CB4">
            <w:pPr>
              <w:ind w:firstLineChars="0" w:firstLine="0"/>
              <w:jc w:val="left"/>
              <w:rPr>
                <w:rFonts w:cs="Times New Roman"/>
                <w:sz w:val="18"/>
                <w:szCs w:val="18"/>
              </w:rPr>
            </w:pPr>
            <w:r w:rsidRPr="0004204D">
              <w:rPr>
                <w:rFonts w:cs="Times New Roman"/>
                <w:sz w:val="18"/>
                <w:szCs w:val="18"/>
              </w:rPr>
              <w:t>Cost</w:t>
            </w:r>
          </w:p>
        </w:tc>
        <w:tc>
          <w:tcPr>
            <w:tcW w:w="992" w:type="dxa"/>
            <w:tcBorders>
              <w:top w:val="single" w:sz="4" w:space="0" w:color="auto"/>
              <w:bottom w:val="single" w:sz="4" w:space="0" w:color="auto"/>
            </w:tcBorders>
          </w:tcPr>
          <w:p w14:paraId="55CF3E41" w14:textId="77777777" w:rsidR="00792164" w:rsidRPr="0004204D" w:rsidRDefault="00792164" w:rsidP="009B7CB4">
            <w:pPr>
              <w:ind w:firstLineChars="0" w:firstLine="0"/>
              <w:jc w:val="left"/>
              <w:rPr>
                <w:rFonts w:cs="Times New Roman"/>
                <w:sz w:val="18"/>
                <w:szCs w:val="18"/>
              </w:rPr>
            </w:pPr>
            <w:r w:rsidRPr="0004204D">
              <w:rPr>
                <w:rFonts w:ascii="SimSun" w:eastAsia="SimSun" w:hAnsi="SimSun" w:cs="SimSun" w:hint="eastAsia"/>
                <w:sz w:val="18"/>
                <w:szCs w:val="18"/>
              </w:rPr>
              <w:t>△</w:t>
            </w:r>
            <w:r w:rsidRPr="0004204D">
              <w:rPr>
                <w:rFonts w:cs="Times New Roman"/>
                <w:sz w:val="18"/>
                <w:szCs w:val="18"/>
              </w:rPr>
              <w:t>Cost</w:t>
            </w:r>
          </w:p>
        </w:tc>
        <w:tc>
          <w:tcPr>
            <w:tcW w:w="1129" w:type="dxa"/>
            <w:tcBorders>
              <w:top w:val="single" w:sz="4" w:space="0" w:color="auto"/>
              <w:bottom w:val="single" w:sz="4" w:space="0" w:color="auto"/>
            </w:tcBorders>
          </w:tcPr>
          <w:p w14:paraId="0A942972" w14:textId="77777777" w:rsidR="00792164" w:rsidRPr="0004204D" w:rsidRDefault="00792164" w:rsidP="009B7CB4">
            <w:pPr>
              <w:ind w:firstLineChars="0" w:firstLine="0"/>
              <w:jc w:val="left"/>
              <w:rPr>
                <w:rFonts w:cs="Times New Roman"/>
                <w:sz w:val="18"/>
                <w:szCs w:val="18"/>
              </w:rPr>
            </w:pPr>
            <w:r w:rsidRPr="0004204D">
              <w:rPr>
                <w:rFonts w:cs="Times New Roman"/>
                <w:sz w:val="18"/>
                <w:szCs w:val="18"/>
              </w:rPr>
              <w:t>QALY</w:t>
            </w:r>
            <w:r w:rsidRPr="0004204D">
              <w:rPr>
                <w:rFonts w:cs="Times New Roman"/>
                <w:sz w:val="18"/>
                <w:szCs w:val="18"/>
                <w:vertAlign w:val="superscript"/>
              </w:rPr>
              <w:t>2</w:t>
            </w:r>
          </w:p>
        </w:tc>
        <w:tc>
          <w:tcPr>
            <w:tcW w:w="1418" w:type="dxa"/>
            <w:tcBorders>
              <w:top w:val="single" w:sz="4" w:space="0" w:color="auto"/>
              <w:bottom w:val="single" w:sz="4" w:space="0" w:color="auto"/>
            </w:tcBorders>
          </w:tcPr>
          <w:p w14:paraId="7106A81E" w14:textId="77777777" w:rsidR="00792164" w:rsidRPr="0004204D" w:rsidRDefault="00792164" w:rsidP="009B7CB4">
            <w:pPr>
              <w:ind w:firstLineChars="0" w:firstLine="0"/>
              <w:jc w:val="left"/>
              <w:rPr>
                <w:rFonts w:cs="Times New Roman"/>
                <w:sz w:val="18"/>
                <w:szCs w:val="18"/>
              </w:rPr>
            </w:pPr>
            <w:r w:rsidRPr="0004204D">
              <w:rPr>
                <w:rFonts w:ascii="SimSun" w:eastAsia="SimSun" w:hAnsi="SimSun" w:cs="SimSun" w:hint="eastAsia"/>
                <w:sz w:val="18"/>
                <w:szCs w:val="18"/>
              </w:rPr>
              <w:t>△</w:t>
            </w:r>
            <w:r w:rsidRPr="0004204D">
              <w:rPr>
                <w:rFonts w:cs="Times New Roman"/>
                <w:sz w:val="18"/>
                <w:szCs w:val="18"/>
              </w:rPr>
              <w:t>QALY</w:t>
            </w:r>
          </w:p>
        </w:tc>
        <w:tc>
          <w:tcPr>
            <w:tcW w:w="1701" w:type="dxa"/>
            <w:tcBorders>
              <w:top w:val="single" w:sz="4" w:space="0" w:color="auto"/>
              <w:bottom w:val="single" w:sz="4" w:space="0" w:color="auto"/>
            </w:tcBorders>
          </w:tcPr>
          <w:p w14:paraId="276C7F76" w14:textId="77777777" w:rsidR="00792164" w:rsidRPr="0004204D" w:rsidRDefault="00792164" w:rsidP="009B7CB4">
            <w:pPr>
              <w:ind w:firstLineChars="0" w:firstLine="0"/>
              <w:jc w:val="left"/>
              <w:rPr>
                <w:rFonts w:cs="Times New Roman"/>
                <w:sz w:val="18"/>
                <w:szCs w:val="18"/>
              </w:rPr>
            </w:pPr>
            <w:r w:rsidRPr="0004204D">
              <w:rPr>
                <w:rFonts w:cs="Times New Roman"/>
                <w:sz w:val="18"/>
                <w:szCs w:val="18"/>
              </w:rPr>
              <w:t>ICER</w:t>
            </w:r>
            <w:r w:rsidRPr="0004204D">
              <w:rPr>
                <w:rFonts w:cs="Times New Roman"/>
                <w:sz w:val="18"/>
                <w:szCs w:val="18"/>
                <w:vertAlign w:val="superscript"/>
              </w:rPr>
              <w:t>2</w:t>
            </w:r>
          </w:p>
        </w:tc>
      </w:tr>
      <w:tr w:rsidR="00792164" w14:paraId="7F5FC951" w14:textId="77777777" w:rsidTr="009B7CB4">
        <w:trPr>
          <w:trHeight w:val="139"/>
        </w:trPr>
        <w:tc>
          <w:tcPr>
            <w:tcW w:w="2263" w:type="dxa"/>
            <w:tcBorders>
              <w:top w:val="single" w:sz="4" w:space="0" w:color="auto"/>
            </w:tcBorders>
          </w:tcPr>
          <w:p w14:paraId="48238150" w14:textId="77777777" w:rsidR="00792164" w:rsidRDefault="00792164" w:rsidP="009B7CB4">
            <w:pPr>
              <w:ind w:firstLineChars="0" w:firstLine="0"/>
              <w:jc w:val="left"/>
              <w:rPr>
                <w:rFonts w:cs="Times New Roman"/>
                <w:sz w:val="18"/>
                <w:szCs w:val="18"/>
              </w:rPr>
            </w:pPr>
            <w:r>
              <w:rPr>
                <w:rFonts w:cs="Times New Roman"/>
                <w:sz w:val="18"/>
                <w:szCs w:val="18"/>
              </w:rPr>
              <w:t>Supplementation</w:t>
            </w:r>
          </w:p>
        </w:tc>
        <w:tc>
          <w:tcPr>
            <w:tcW w:w="714" w:type="dxa"/>
            <w:tcBorders>
              <w:top w:val="single" w:sz="4" w:space="0" w:color="auto"/>
            </w:tcBorders>
          </w:tcPr>
          <w:p w14:paraId="1524A452" w14:textId="77777777" w:rsidR="00792164" w:rsidRDefault="00792164" w:rsidP="009B7CB4">
            <w:pPr>
              <w:ind w:firstLineChars="0" w:firstLine="0"/>
              <w:jc w:val="left"/>
              <w:rPr>
                <w:rFonts w:cs="Times New Roman"/>
                <w:sz w:val="18"/>
                <w:szCs w:val="18"/>
              </w:rPr>
            </w:pPr>
            <w:r>
              <w:rPr>
                <w:rFonts w:cs="Times New Roman"/>
                <w:sz w:val="18"/>
                <w:szCs w:val="18"/>
              </w:rPr>
              <w:t>138.75</w:t>
            </w:r>
          </w:p>
        </w:tc>
        <w:tc>
          <w:tcPr>
            <w:tcW w:w="992" w:type="dxa"/>
            <w:tcBorders>
              <w:top w:val="single" w:sz="4" w:space="0" w:color="auto"/>
            </w:tcBorders>
          </w:tcPr>
          <w:p w14:paraId="39C0917E" w14:textId="77777777" w:rsidR="00792164" w:rsidRDefault="00792164" w:rsidP="009B7CB4">
            <w:pPr>
              <w:ind w:firstLineChars="0" w:firstLine="0"/>
              <w:jc w:val="left"/>
              <w:rPr>
                <w:rFonts w:cs="Times New Roman"/>
                <w:sz w:val="18"/>
                <w:szCs w:val="18"/>
              </w:rPr>
            </w:pPr>
            <w:r>
              <w:rPr>
                <w:rFonts w:cs="Times New Roman" w:hint="eastAsia"/>
                <w:sz w:val="18"/>
                <w:szCs w:val="18"/>
              </w:rPr>
              <w:t>4</w:t>
            </w:r>
            <w:r>
              <w:rPr>
                <w:rFonts w:cs="Times New Roman"/>
                <w:sz w:val="18"/>
                <w:szCs w:val="18"/>
              </w:rPr>
              <w:t>9.52</w:t>
            </w:r>
          </w:p>
        </w:tc>
        <w:tc>
          <w:tcPr>
            <w:tcW w:w="1129" w:type="dxa"/>
            <w:tcBorders>
              <w:top w:val="single" w:sz="4" w:space="0" w:color="auto"/>
            </w:tcBorders>
          </w:tcPr>
          <w:p w14:paraId="2B9A4EFD" w14:textId="77777777" w:rsidR="00792164" w:rsidRDefault="00792164" w:rsidP="009B7CB4">
            <w:pPr>
              <w:ind w:firstLineChars="0" w:firstLine="0"/>
              <w:jc w:val="left"/>
              <w:rPr>
                <w:rFonts w:cs="Times New Roman"/>
                <w:sz w:val="18"/>
                <w:szCs w:val="18"/>
              </w:rPr>
            </w:pPr>
            <w:r>
              <w:rPr>
                <w:rFonts w:cs="Times New Roman"/>
                <w:sz w:val="18"/>
                <w:szCs w:val="18"/>
              </w:rPr>
              <w:t>8.3</w:t>
            </w:r>
          </w:p>
        </w:tc>
        <w:tc>
          <w:tcPr>
            <w:tcW w:w="1418" w:type="dxa"/>
            <w:tcBorders>
              <w:top w:val="single" w:sz="4" w:space="0" w:color="auto"/>
            </w:tcBorders>
          </w:tcPr>
          <w:p w14:paraId="59D50CEF" w14:textId="77777777" w:rsidR="00792164" w:rsidRDefault="00792164" w:rsidP="009B7CB4">
            <w:pPr>
              <w:ind w:firstLineChars="0" w:firstLine="0"/>
              <w:jc w:val="left"/>
              <w:rPr>
                <w:rFonts w:cs="Times New Roman"/>
                <w:sz w:val="18"/>
                <w:szCs w:val="18"/>
              </w:rPr>
            </w:pPr>
            <w:r>
              <w:rPr>
                <w:rFonts w:cs="Times New Roman"/>
                <w:sz w:val="18"/>
                <w:szCs w:val="18"/>
              </w:rPr>
              <w:t>0.04</w:t>
            </w:r>
          </w:p>
        </w:tc>
        <w:tc>
          <w:tcPr>
            <w:tcW w:w="1701" w:type="dxa"/>
            <w:tcBorders>
              <w:top w:val="single" w:sz="4" w:space="0" w:color="auto"/>
            </w:tcBorders>
          </w:tcPr>
          <w:p w14:paraId="5D5E2289" w14:textId="77777777" w:rsidR="00792164" w:rsidRDefault="00792164" w:rsidP="009B7CB4">
            <w:pPr>
              <w:ind w:firstLineChars="0" w:firstLine="0"/>
              <w:jc w:val="left"/>
              <w:rPr>
                <w:rFonts w:cs="Times New Roman"/>
                <w:sz w:val="18"/>
                <w:szCs w:val="18"/>
              </w:rPr>
            </w:pPr>
            <w:r>
              <w:rPr>
                <w:rFonts w:cs="Times New Roman"/>
                <w:sz w:val="18"/>
                <w:szCs w:val="18"/>
              </w:rPr>
              <w:t>1312.13</w:t>
            </w:r>
          </w:p>
        </w:tc>
      </w:tr>
      <w:tr w:rsidR="00792164" w14:paraId="124A951D" w14:textId="77777777" w:rsidTr="009B7CB4">
        <w:tc>
          <w:tcPr>
            <w:tcW w:w="2263" w:type="dxa"/>
          </w:tcPr>
          <w:p w14:paraId="18BB29AE" w14:textId="77777777" w:rsidR="00792164" w:rsidRDefault="00792164" w:rsidP="009B7CB4">
            <w:pPr>
              <w:ind w:firstLineChars="0" w:firstLine="0"/>
              <w:jc w:val="left"/>
              <w:rPr>
                <w:rFonts w:cs="Times New Roman"/>
                <w:sz w:val="18"/>
                <w:szCs w:val="18"/>
              </w:rPr>
            </w:pPr>
            <w:r>
              <w:rPr>
                <w:rFonts w:cs="Times New Roman"/>
                <w:sz w:val="18"/>
                <w:szCs w:val="18"/>
              </w:rPr>
              <w:t>No intervention</w:t>
            </w:r>
          </w:p>
        </w:tc>
        <w:tc>
          <w:tcPr>
            <w:tcW w:w="714" w:type="dxa"/>
          </w:tcPr>
          <w:p w14:paraId="5F3AB86C" w14:textId="77777777" w:rsidR="00792164" w:rsidRDefault="00792164" w:rsidP="009B7CB4">
            <w:pPr>
              <w:ind w:firstLineChars="0" w:firstLine="0"/>
              <w:jc w:val="left"/>
              <w:rPr>
                <w:rFonts w:cs="Times New Roman"/>
                <w:sz w:val="18"/>
                <w:szCs w:val="18"/>
              </w:rPr>
            </w:pPr>
            <w:r>
              <w:rPr>
                <w:rFonts w:cs="Times New Roman"/>
                <w:sz w:val="18"/>
                <w:szCs w:val="18"/>
              </w:rPr>
              <w:t>89.23</w:t>
            </w:r>
          </w:p>
        </w:tc>
        <w:tc>
          <w:tcPr>
            <w:tcW w:w="992" w:type="dxa"/>
          </w:tcPr>
          <w:p w14:paraId="6AC1FA9F" w14:textId="77777777" w:rsidR="00792164" w:rsidRPr="005552F1"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t>
            </w:r>
          </w:p>
        </w:tc>
        <w:tc>
          <w:tcPr>
            <w:tcW w:w="1129" w:type="dxa"/>
          </w:tcPr>
          <w:p w14:paraId="2EB89B7A" w14:textId="77777777" w:rsidR="00792164" w:rsidRDefault="00792164" w:rsidP="009B7CB4">
            <w:pPr>
              <w:ind w:firstLineChars="0" w:firstLine="0"/>
              <w:jc w:val="left"/>
              <w:rPr>
                <w:rFonts w:cs="Times New Roman"/>
                <w:sz w:val="18"/>
                <w:szCs w:val="18"/>
              </w:rPr>
            </w:pPr>
            <w:r>
              <w:rPr>
                <w:rFonts w:cs="Times New Roman"/>
                <w:sz w:val="18"/>
                <w:szCs w:val="18"/>
              </w:rPr>
              <w:t>8.26</w:t>
            </w:r>
          </w:p>
        </w:tc>
        <w:tc>
          <w:tcPr>
            <w:tcW w:w="1418" w:type="dxa"/>
          </w:tcPr>
          <w:p w14:paraId="7B315881" w14:textId="77777777" w:rsidR="00792164" w:rsidRPr="005552F1"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t>
            </w:r>
          </w:p>
        </w:tc>
        <w:tc>
          <w:tcPr>
            <w:tcW w:w="1701" w:type="dxa"/>
          </w:tcPr>
          <w:p w14:paraId="2F1D4E1E" w14:textId="77777777" w:rsidR="00792164" w:rsidRPr="005552F1"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t>
            </w:r>
          </w:p>
        </w:tc>
      </w:tr>
      <w:tr w:rsidR="00792164" w14:paraId="428BD235" w14:textId="77777777" w:rsidTr="009B7CB4">
        <w:trPr>
          <w:trHeight w:val="58"/>
        </w:trPr>
        <w:tc>
          <w:tcPr>
            <w:tcW w:w="2263" w:type="dxa"/>
          </w:tcPr>
          <w:p w14:paraId="52474690" w14:textId="77777777" w:rsidR="00792164" w:rsidRDefault="00792164" w:rsidP="009B7CB4">
            <w:pPr>
              <w:ind w:firstLineChars="0" w:firstLine="0"/>
              <w:jc w:val="left"/>
              <w:rPr>
                <w:rFonts w:cs="Times New Roman"/>
                <w:sz w:val="18"/>
                <w:szCs w:val="18"/>
              </w:rPr>
            </w:pPr>
          </w:p>
        </w:tc>
        <w:tc>
          <w:tcPr>
            <w:tcW w:w="714" w:type="dxa"/>
          </w:tcPr>
          <w:p w14:paraId="136AD1AA" w14:textId="77777777" w:rsidR="00792164" w:rsidRDefault="00792164" w:rsidP="009B7CB4">
            <w:pPr>
              <w:ind w:firstLineChars="0" w:firstLine="0"/>
              <w:jc w:val="left"/>
              <w:rPr>
                <w:rFonts w:cs="Times New Roman"/>
                <w:sz w:val="18"/>
                <w:szCs w:val="18"/>
              </w:rPr>
            </w:pPr>
          </w:p>
        </w:tc>
        <w:tc>
          <w:tcPr>
            <w:tcW w:w="992" w:type="dxa"/>
          </w:tcPr>
          <w:p w14:paraId="03FA27F3" w14:textId="77777777" w:rsidR="00792164" w:rsidRDefault="00792164" w:rsidP="009B7CB4">
            <w:pPr>
              <w:ind w:firstLineChars="0" w:firstLine="0"/>
              <w:jc w:val="left"/>
              <w:rPr>
                <w:rFonts w:cs="Times New Roman"/>
                <w:sz w:val="18"/>
                <w:szCs w:val="18"/>
              </w:rPr>
            </w:pPr>
          </w:p>
        </w:tc>
        <w:tc>
          <w:tcPr>
            <w:tcW w:w="1129" w:type="dxa"/>
          </w:tcPr>
          <w:p w14:paraId="2EDB49CE" w14:textId="77777777" w:rsidR="00792164" w:rsidRDefault="00792164" w:rsidP="009B7CB4">
            <w:pPr>
              <w:ind w:firstLineChars="0" w:firstLine="0"/>
              <w:jc w:val="left"/>
              <w:rPr>
                <w:rFonts w:cs="Times New Roman"/>
                <w:sz w:val="18"/>
                <w:szCs w:val="18"/>
              </w:rPr>
            </w:pPr>
          </w:p>
        </w:tc>
        <w:tc>
          <w:tcPr>
            <w:tcW w:w="1418" w:type="dxa"/>
          </w:tcPr>
          <w:p w14:paraId="2DAB23FA" w14:textId="77777777" w:rsidR="00792164" w:rsidRDefault="00792164" w:rsidP="009B7CB4">
            <w:pPr>
              <w:ind w:firstLineChars="0" w:firstLine="0"/>
              <w:jc w:val="left"/>
              <w:rPr>
                <w:rFonts w:cs="Times New Roman"/>
                <w:sz w:val="18"/>
                <w:szCs w:val="18"/>
              </w:rPr>
            </w:pPr>
          </w:p>
        </w:tc>
        <w:tc>
          <w:tcPr>
            <w:tcW w:w="1701" w:type="dxa"/>
          </w:tcPr>
          <w:p w14:paraId="198FF3E2" w14:textId="77777777" w:rsidR="00792164" w:rsidRDefault="00792164" w:rsidP="009B7CB4">
            <w:pPr>
              <w:ind w:firstLineChars="0" w:firstLine="0"/>
              <w:jc w:val="left"/>
              <w:rPr>
                <w:rFonts w:cs="Times New Roman"/>
                <w:sz w:val="18"/>
                <w:szCs w:val="18"/>
              </w:rPr>
            </w:pPr>
          </w:p>
        </w:tc>
      </w:tr>
      <w:tr w:rsidR="00792164" w14:paraId="090A3316" w14:textId="77777777" w:rsidTr="009B7CB4">
        <w:tc>
          <w:tcPr>
            <w:tcW w:w="2263" w:type="dxa"/>
          </w:tcPr>
          <w:p w14:paraId="090C226F" w14:textId="77777777" w:rsidR="00792164" w:rsidRDefault="00792164" w:rsidP="009B7CB4">
            <w:pPr>
              <w:ind w:firstLineChars="0" w:firstLine="0"/>
              <w:jc w:val="left"/>
              <w:rPr>
                <w:rFonts w:cs="Times New Roman"/>
                <w:sz w:val="18"/>
                <w:szCs w:val="18"/>
              </w:rPr>
            </w:pPr>
            <w:r>
              <w:rPr>
                <w:rFonts w:cs="Times New Roman"/>
                <w:sz w:val="18"/>
                <w:szCs w:val="18"/>
              </w:rPr>
              <w:t>Fortification</w:t>
            </w:r>
          </w:p>
        </w:tc>
        <w:tc>
          <w:tcPr>
            <w:tcW w:w="714" w:type="dxa"/>
          </w:tcPr>
          <w:p w14:paraId="3191B45F" w14:textId="77777777" w:rsidR="00792164" w:rsidRDefault="00792164" w:rsidP="009B7CB4">
            <w:pPr>
              <w:ind w:firstLineChars="0" w:firstLine="0"/>
              <w:jc w:val="left"/>
              <w:rPr>
                <w:rFonts w:cs="Times New Roman"/>
                <w:sz w:val="18"/>
                <w:szCs w:val="18"/>
              </w:rPr>
            </w:pPr>
            <w:r>
              <w:rPr>
                <w:rFonts w:cs="Times New Roman"/>
                <w:sz w:val="18"/>
                <w:szCs w:val="18"/>
              </w:rPr>
              <w:t>75.76</w:t>
            </w:r>
          </w:p>
        </w:tc>
        <w:tc>
          <w:tcPr>
            <w:tcW w:w="992" w:type="dxa"/>
          </w:tcPr>
          <w:p w14:paraId="3DC17542" w14:textId="77777777" w:rsidR="00792164" w:rsidRDefault="00792164" w:rsidP="009B7CB4">
            <w:pPr>
              <w:ind w:firstLineChars="0" w:firstLine="0"/>
              <w:jc w:val="left"/>
              <w:rPr>
                <w:rFonts w:cs="Times New Roman"/>
                <w:sz w:val="18"/>
                <w:szCs w:val="18"/>
              </w:rPr>
            </w:pPr>
            <w:r>
              <w:rPr>
                <w:rFonts w:cs="Times New Roman"/>
                <w:sz w:val="18"/>
                <w:szCs w:val="18"/>
              </w:rPr>
              <w:t>-13.48</w:t>
            </w:r>
          </w:p>
        </w:tc>
        <w:tc>
          <w:tcPr>
            <w:tcW w:w="1129" w:type="dxa"/>
          </w:tcPr>
          <w:p w14:paraId="41BC2929" w14:textId="77777777" w:rsidR="00792164" w:rsidRDefault="00792164" w:rsidP="009B7CB4">
            <w:pPr>
              <w:ind w:firstLineChars="0" w:firstLine="0"/>
              <w:jc w:val="left"/>
              <w:rPr>
                <w:rFonts w:cs="Times New Roman"/>
                <w:sz w:val="18"/>
                <w:szCs w:val="18"/>
              </w:rPr>
            </w:pPr>
            <w:r>
              <w:rPr>
                <w:rFonts w:cs="Times New Roman"/>
                <w:sz w:val="18"/>
                <w:szCs w:val="18"/>
              </w:rPr>
              <w:t>8.3</w:t>
            </w:r>
          </w:p>
        </w:tc>
        <w:tc>
          <w:tcPr>
            <w:tcW w:w="1418" w:type="dxa"/>
          </w:tcPr>
          <w:p w14:paraId="6A83EEF8" w14:textId="77777777" w:rsidR="00792164" w:rsidRDefault="00792164" w:rsidP="009B7CB4">
            <w:pPr>
              <w:ind w:firstLineChars="0" w:firstLine="0"/>
              <w:jc w:val="left"/>
              <w:rPr>
                <w:rFonts w:cs="Times New Roman"/>
                <w:sz w:val="18"/>
                <w:szCs w:val="18"/>
              </w:rPr>
            </w:pPr>
            <w:r>
              <w:rPr>
                <w:rFonts w:cs="Times New Roman"/>
                <w:sz w:val="18"/>
                <w:szCs w:val="18"/>
              </w:rPr>
              <w:t>0.04</w:t>
            </w:r>
          </w:p>
        </w:tc>
        <w:tc>
          <w:tcPr>
            <w:tcW w:w="1701" w:type="dxa"/>
          </w:tcPr>
          <w:p w14:paraId="6273A191" w14:textId="77777777" w:rsidR="00792164" w:rsidRDefault="00792164" w:rsidP="009B7CB4">
            <w:pPr>
              <w:ind w:firstLineChars="0" w:firstLine="0"/>
              <w:jc w:val="left"/>
              <w:rPr>
                <w:rFonts w:cs="Times New Roman"/>
                <w:sz w:val="18"/>
                <w:szCs w:val="18"/>
              </w:rPr>
            </w:pPr>
            <w:r>
              <w:rPr>
                <w:rFonts w:cs="Times New Roman"/>
                <w:sz w:val="18"/>
                <w:szCs w:val="18"/>
              </w:rPr>
              <w:t>-355.51</w:t>
            </w:r>
          </w:p>
        </w:tc>
      </w:tr>
      <w:tr w:rsidR="00792164" w14:paraId="749FB686" w14:textId="77777777" w:rsidTr="009B7CB4">
        <w:tc>
          <w:tcPr>
            <w:tcW w:w="2263" w:type="dxa"/>
          </w:tcPr>
          <w:p w14:paraId="67568CAF" w14:textId="77777777" w:rsidR="00792164" w:rsidRDefault="00792164" w:rsidP="009B7CB4">
            <w:pPr>
              <w:ind w:firstLineChars="0" w:firstLine="0"/>
              <w:jc w:val="left"/>
              <w:rPr>
                <w:rFonts w:cs="Times New Roman"/>
                <w:sz w:val="18"/>
                <w:szCs w:val="18"/>
              </w:rPr>
            </w:pPr>
            <w:r>
              <w:rPr>
                <w:rFonts w:cs="Times New Roman"/>
                <w:sz w:val="18"/>
                <w:szCs w:val="18"/>
              </w:rPr>
              <w:t>No intervention</w:t>
            </w:r>
          </w:p>
        </w:tc>
        <w:tc>
          <w:tcPr>
            <w:tcW w:w="714" w:type="dxa"/>
          </w:tcPr>
          <w:p w14:paraId="7E601087" w14:textId="77777777" w:rsidR="00792164" w:rsidRDefault="00792164" w:rsidP="009B7CB4">
            <w:pPr>
              <w:ind w:firstLineChars="0" w:firstLine="0"/>
              <w:jc w:val="left"/>
              <w:rPr>
                <w:rFonts w:cs="Times New Roman"/>
                <w:sz w:val="18"/>
                <w:szCs w:val="18"/>
              </w:rPr>
            </w:pPr>
            <w:r>
              <w:rPr>
                <w:rFonts w:cs="Times New Roman"/>
                <w:sz w:val="18"/>
                <w:szCs w:val="18"/>
              </w:rPr>
              <w:t>89.23</w:t>
            </w:r>
          </w:p>
        </w:tc>
        <w:tc>
          <w:tcPr>
            <w:tcW w:w="992" w:type="dxa"/>
          </w:tcPr>
          <w:p w14:paraId="46670E04" w14:textId="77777777" w:rsidR="00792164" w:rsidRPr="005552F1"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t>
            </w:r>
          </w:p>
        </w:tc>
        <w:tc>
          <w:tcPr>
            <w:tcW w:w="1129" w:type="dxa"/>
          </w:tcPr>
          <w:p w14:paraId="7A919CC5" w14:textId="77777777" w:rsidR="00792164" w:rsidRDefault="00792164" w:rsidP="009B7CB4">
            <w:pPr>
              <w:ind w:firstLineChars="0" w:firstLine="0"/>
              <w:jc w:val="left"/>
              <w:rPr>
                <w:rFonts w:cs="Times New Roman"/>
                <w:sz w:val="18"/>
                <w:szCs w:val="18"/>
              </w:rPr>
            </w:pPr>
            <w:r>
              <w:rPr>
                <w:rFonts w:cs="Times New Roman"/>
                <w:sz w:val="18"/>
                <w:szCs w:val="18"/>
              </w:rPr>
              <w:t>8.26</w:t>
            </w:r>
          </w:p>
        </w:tc>
        <w:tc>
          <w:tcPr>
            <w:tcW w:w="1418" w:type="dxa"/>
          </w:tcPr>
          <w:p w14:paraId="3F38324B" w14:textId="77777777" w:rsidR="00792164" w:rsidRPr="005552F1"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t>
            </w:r>
          </w:p>
        </w:tc>
        <w:tc>
          <w:tcPr>
            <w:tcW w:w="1701" w:type="dxa"/>
          </w:tcPr>
          <w:p w14:paraId="69EE437B" w14:textId="77777777" w:rsidR="00792164" w:rsidRPr="005552F1"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t>
            </w:r>
          </w:p>
        </w:tc>
      </w:tr>
      <w:tr w:rsidR="00792164" w14:paraId="32753FB3" w14:textId="77777777" w:rsidTr="009B7CB4">
        <w:tc>
          <w:tcPr>
            <w:tcW w:w="2263" w:type="dxa"/>
          </w:tcPr>
          <w:p w14:paraId="2E2A21A6" w14:textId="77777777" w:rsidR="00792164" w:rsidRDefault="00792164" w:rsidP="009B7CB4">
            <w:pPr>
              <w:ind w:firstLineChars="0" w:firstLine="0"/>
              <w:jc w:val="left"/>
              <w:rPr>
                <w:rFonts w:cs="Times New Roman"/>
                <w:sz w:val="18"/>
                <w:szCs w:val="18"/>
              </w:rPr>
            </w:pPr>
          </w:p>
        </w:tc>
        <w:tc>
          <w:tcPr>
            <w:tcW w:w="714" w:type="dxa"/>
          </w:tcPr>
          <w:p w14:paraId="2159B798" w14:textId="77777777" w:rsidR="00792164" w:rsidRDefault="00792164" w:rsidP="009B7CB4">
            <w:pPr>
              <w:ind w:firstLineChars="0" w:firstLine="0"/>
              <w:jc w:val="left"/>
              <w:rPr>
                <w:rFonts w:cs="Times New Roman"/>
                <w:sz w:val="18"/>
                <w:szCs w:val="18"/>
              </w:rPr>
            </w:pPr>
          </w:p>
        </w:tc>
        <w:tc>
          <w:tcPr>
            <w:tcW w:w="992" w:type="dxa"/>
          </w:tcPr>
          <w:p w14:paraId="09E51757" w14:textId="77777777" w:rsidR="00792164" w:rsidRDefault="00792164" w:rsidP="009B7CB4">
            <w:pPr>
              <w:ind w:firstLineChars="0" w:firstLine="0"/>
              <w:jc w:val="left"/>
              <w:rPr>
                <w:rFonts w:cs="Times New Roman"/>
                <w:sz w:val="18"/>
                <w:szCs w:val="18"/>
              </w:rPr>
            </w:pPr>
          </w:p>
        </w:tc>
        <w:tc>
          <w:tcPr>
            <w:tcW w:w="1129" w:type="dxa"/>
          </w:tcPr>
          <w:p w14:paraId="34BD2545" w14:textId="77777777" w:rsidR="00792164" w:rsidRDefault="00792164" w:rsidP="009B7CB4">
            <w:pPr>
              <w:ind w:firstLineChars="0" w:firstLine="0"/>
              <w:jc w:val="left"/>
              <w:rPr>
                <w:rFonts w:cs="Times New Roman"/>
                <w:sz w:val="18"/>
                <w:szCs w:val="18"/>
              </w:rPr>
            </w:pPr>
          </w:p>
        </w:tc>
        <w:tc>
          <w:tcPr>
            <w:tcW w:w="1418" w:type="dxa"/>
          </w:tcPr>
          <w:p w14:paraId="574B988A" w14:textId="77777777" w:rsidR="00792164" w:rsidRDefault="00792164" w:rsidP="009B7CB4">
            <w:pPr>
              <w:ind w:firstLineChars="0" w:firstLine="0"/>
              <w:jc w:val="left"/>
              <w:rPr>
                <w:rFonts w:cs="Times New Roman"/>
                <w:sz w:val="18"/>
                <w:szCs w:val="18"/>
              </w:rPr>
            </w:pPr>
          </w:p>
        </w:tc>
        <w:tc>
          <w:tcPr>
            <w:tcW w:w="1701" w:type="dxa"/>
          </w:tcPr>
          <w:p w14:paraId="0A27C31F" w14:textId="77777777" w:rsidR="00792164" w:rsidRDefault="00792164" w:rsidP="009B7CB4">
            <w:pPr>
              <w:ind w:firstLineChars="0" w:firstLine="0"/>
              <w:jc w:val="left"/>
              <w:rPr>
                <w:rFonts w:cs="Times New Roman"/>
                <w:sz w:val="18"/>
                <w:szCs w:val="18"/>
              </w:rPr>
            </w:pPr>
          </w:p>
        </w:tc>
      </w:tr>
      <w:tr w:rsidR="00792164" w14:paraId="4B05753A" w14:textId="77777777" w:rsidTr="009B7CB4">
        <w:tc>
          <w:tcPr>
            <w:tcW w:w="2263" w:type="dxa"/>
          </w:tcPr>
          <w:p w14:paraId="57197BC9" w14:textId="77777777" w:rsidR="00792164" w:rsidRDefault="00792164" w:rsidP="009B7CB4">
            <w:pPr>
              <w:ind w:firstLineChars="0" w:firstLine="0"/>
              <w:jc w:val="left"/>
              <w:rPr>
                <w:rFonts w:cs="Times New Roman"/>
                <w:sz w:val="18"/>
                <w:szCs w:val="18"/>
              </w:rPr>
            </w:pPr>
            <w:r>
              <w:rPr>
                <w:rFonts w:cs="Times New Roman"/>
                <w:sz w:val="18"/>
                <w:szCs w:val="18"/>
              </w:rPr>
              <w:t>Biofortification with breeding technique</w:t>
            </w:r>
          </w:p>
        </w:tc>
        <w:tc>
          <w:tcPr>
            <w:tcW w:w="714" w:type="dxa"/>
          </w:tcPr>
          <w:p w14:paraId="07AEABFC" w14:textId="77777777" w:rsidR="00792164" w:rsidRDefault="00792164" w:rsidP="009B7CB4">
            <w:pPr>
              <w:ind w:firstLineChars="0" w:firstLine="0"/>
              <w:jc w:val="left"/>
              <w:rPr>
                <w:rFonts w:eastAsia="DengXian" w:cs="Times New Roman"/>
                <w:color w:val="000000"/>
                <w:sz w:val="22"/>
              </w:rPr>
            </w:pPr>
            <w:r>
              <w:rPr>
                <w:rFonts w:cs="Times New Roman"/>
                <w:sz w:val="18"/>
                <w:szCs w:val="18"/>
              </w:rPr>
              <w:t>85.53</w:t>
            </w:r>
          </w:p>
          <w:p w14:paraId="53088D7B" w14:textId="77777777" w:rsidR="00792164" w:rsidRDefault="00792164" w:rsidP="009B7CB4">
            <w:pPr>
              <w:ind w:firstLineChars="0" w:firstLine="0"/>
              <w:jc w:val="left"/>
              <w:rPr>
                <w:rFonts w:cs="Times New Roman"/>
                <w:sz w:val="18"/>
                <w:szCs w:val="18"/>
              </w:rPr>
            </w:pPr>
          </w:p>
        </w:tc>
        <w:tc>
          <w:tcPr>
            <w:tcW w:w="992" w:type="dxa"/>
          </w:tcPr>
          <w:p w14:paraId="0A288499" w14:textId="77777777" w:rsidR="00792164" w:rsidRDefault="00792164" w:rsidP="009B7CB4">
            <w:pPr>
              <w:ind w:firstLineChars="0" w:firstLine="0"/>
              <w:jc w:val="left"/>
              <w:rPr>
                <w:rFonts w:cs="Times New Roman"/>
                <w:sz w:val="18"/>
                <w:szCs w:val="18"/>
              </w:rPr>
            </w:pPr>
            <w:r>
              <w:rPr>
                <w:rFonts w:cs="Times New Roman"/>
                <w:sz w:val="18"/>
                <w:szCs w:val="18"/>
              </w:rPr>
              <w:t>-3.76</w:t>
            </w:r>
          </w:p>
        </w:tc>
        <w:tc>
          <w:tcPr>
            <w:tcW w:w="1129" w:type="dxa"/>
          </w:tcPr>
          <w:p w14:paraId="4F739E0C" w14:textId="77777777" w:rsidR="00792164" w:rsidRDefault="00792164" w:rsidP="009B7CB4">
            <w:pPr>
              <w:ind w:firstLineChars="0" w:firstLine="0"/>
              <w:jc w:val="left"/>
              <w:rPr>
                <w:rFonts w:cs="Times New Roman"/>
                <w:sz w:val="18"/>
                <w:szCs w:val="18"/>
              </w:rPr>
            </w:pPr>
            <w:r>
              <w:rPr>
                <w:rFonts w:cs="Times New Roman"/>
                <w:sz w:val="18"/>
                <w:szCs w:val="18"/>
              </w:rPr>
              <w:t>8.27</w:t>
            </w:r>
          </w:p>
        </w:tc>
        <w:tc>
          <w:tcPr>
            <w:tcW w:w="1418" w:type="dxa"/>
          </w:tcPr>
          <w:p w14:paraId="2183229B" w14:textId="77777777" w:rsidR="00792164" w:rsidRDefault="00792164" w:rsidP="009B7CB4">
            <w:pPr>
              <w:ind w:firstLineChars="0" w:firstLine="0"/>
              <w:jc w:val="left"/>
              <w:rPr>
                <w:rFonts w:cs="Times New Roman"/>
                <w:sz w:val="18"/>
                <w:szCs w:val="18"/>
              </w:rPr>
            </w:pPr>
            <w:r>
              <w:rPr>
                <w:rFonts w:cs="Times New Roman"/>
                <w:sz w:val="18"/>
                <w:szCs w:val="18"/>
              </w:rPr>
              <w:t>0.01</w:t>
            </w:r>
          </w:p>
        </w:tc>
        <w:tc>
          <w:tcPr>
            <w:tcW w:w="1701" w:type="dxa"/>
          </w:tcPr>
          <w:p w14:paraId="3ED34B88" w14:textId="77777777" w:rsidR="00792164" w:rsidRDefault="00792164" w:rsidP="009B7CB4">
            <w:pPr>
              <w:ind w:firstLineChars="0" w:firstLine="0"/>
              <w:jc w:val="left"/>
              <w:rPr>
                <w:rFonts w:cs="Times New Roman"/>
                <w:sz w:val="18"/>
                <w:szCs w:val="18"/>
              </w:rPr>
            </w:pPr>
            <w:r>
              <w:rPr>
                <w:rFonts w:cs="Times New Roman"/>
                <w:sz w:val="18"/>
                <w:szCs w:val="18"/>
              </w:rPr>
              <w:t>-410.24</w:t>
            </w:r>
          </w:p>
        </w:tc>
      </w:tr>
      <w:tr w:rsidR="00792164" w14:paraId="438263E0" w14:textId="77777777" w:rsidTr="009B7CB4">
        <w:tc>
          <w:tcPr>
            <w:tcW w:w="2263" w:type="dxa"/>
          </w:tcPr>
          <w:p w14:paraId="2B6EFD3A" w14:textId="77777777" w:rsidR="00792164" w:rsidRDefault="00792164" w:rsidP="009B7CB4">
            <w:pPr>
              <w:ind w:firstLineChars="0" w:firstLine="0"/>
              <w:jc w:val="left"/>
              <w:rPr>
                <w:rFonts w:cs="Times New Roman"/>
                <w:sz w:val="18"/>
                <w:szCs w:val="18"/>
              </w:rPr>
            </w:pPr>
            <w:r>
              <w:rPr>
                <w:rFonts w:cs="Times New Roman"/>
                <w:sz w:val="18"/>
                <w:szCs w:val="18"/>
              </w:rPr>
              <w:t>No intervention</w:t>
            </w:r>
          </w:p>
        </w:tc>
        <w:tc>
          <w:tcPr>
            <w:tcW w:w="714" w:type="dxa"/>
          </w:tcPr>
          <w:p w14:paraId="5BF554AA" w14:textId="77777777" w:rsidR="00792164" w:rsidRDefault="00792164" w:rsidP="009B7CB4">
            <w:pPr>
              <w:ind w:firstLineChars="0" w:firstLine="0"/>
              <w:jc w:val="left"/>
              <w:rPr>
                <w:rFonts w:cs="Times New Roman"/>
                <w:sz w:val="18"/>
                <w:szCs w:val="18"/>
              </w:rPr>
            </w:pPr>
            <w:r>
              <w:rPr>
                <w:rFonts w:cs="Times New Roman"/>
                <w:sz w:val="18"/>
                <w:szCs w:val="18"/>
              </w:rPr>
              <w:t>89.23</w:t>
            </w:r>
          </w:p>
        </w:tc>
        <w:tc>
          <w:tcPr>
            <w:tcW w:w="992" w:type="dxa"/>
          </w:tcPr>
          <w:p w14:paraId="6DBDD93E" w14:textId="77777777" w:rsidR="00792164" w:rsidRPr="005552F1"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t>
            </w:r>
          </w:p>
        </w:tc>
        <w:tc>
          <w:tcPr>
            <w:tcW w:w="1129" w:type="dxa"/>
          </w:tcPr>
          <w:p w14:paraId="27441769" w14:textId="77777777" w:rsidR="00792164" w:rsidRDefault="00792164" w:rsidP="009B7CB4">
            <w:pPr>
              <w:ind w:firstLineChars="0" w:firstLine="0"/>
              <w:jc w:val="left"/>
              <w:rPr>
                <w:rFonts w:cs="Times New Roman"/>
                <w:sz w:val="18"/>
                <w:szCs w:val="18"/>
              </w:rPr>
            </w:pPr>
            <w:r>
              <w:rPr>
                <w:rFonts w:cs="Times New Roman"/>
                <w:sz w:val="18"/>
                <w:szCs w:val="18"/>
              </w:rPr>
              <w:t>8.26</w:t>
            </w:r>
          </w:p>
        </w:tc>
        <w:tc>
          <w:tcPr>
            <w:tcW w:w="1418" w:type="dxa"/>
          </w:tcPr>
          <w:p w14:paraId="7A42E298" w14:textId="77777777" w:rsidR="00792164" w:rsidRPr="005552F1"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t>
            </w:r>
          </w:p>
        </w:tc>
        <w:tc>
          <w:tcPr>
            <w:tcW w:w="1701" w:type="dxa"/>
          </w:tcPr>
          <w:p w14:paraId="72FBDE0C" w14:textId="77777777" w:rsidR="00792164" w:rsidRPr="005552F1"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t>
            </w:r>
          </w:p>
        </w:tc>
      </w:tr>
      <w:tr w:rsidR="00792164" w14:paraId="2C8DFB56" w14:textId="77777777" w:rsidTr="009B7CB4">
        <w:tc>
          <w:tcPr>
            <w:tcW w:w="2263" w:type="dxa"/>
          </w:tcPr>
          <w:p w14:paraId="7C3E6967" w14:textId="77777777" w:rsidR="00792164" w:rsidRDefault="00792164" w:rsidP="009B7CB4">
            <w:pPr>
              <w:ind w:firstLineChars="0" w:firstLine="0"/>
              <w:jc w:val="left"/>
              <w:rPr>
                <w:rFonts w:cs="Times New Roman"/>
                <w:sz w:val="18"/>
                <w:szCs w:val="18"/>
              </w:rPr>
            </w:pPr>
          </w:p>
        </w:tc>
        <w:tc>
          <w:tcPr>
            <w:tcW w:w="714" w:type="dxa"/>
          </w:tcPr>
          <w:p w14:paraId="015E9D3E" w14:textId="77777777" w:rsidR="00792164" w:rsidRDefault="00792164" w:rsidP="009B7CB4">
            <w:pPr>
              <w:ind w:firstLineChars="0" w:firstLine="0"/>
              <w:jc w:val="left"/>
              <w:rPr>
                <w:rFonts w:cs="Times New Roman"/>
                <w:sz w:val="18"/>
                <w:szCs w:val="18"/>
              </w:rPr>
            </w:pPr>
          </w:p>
        </w:tc>
        <w:tc>
          <w:tcPr>
            <w:tcW w:w="992" w:type="dxa"/>
          </w:tcPr>
          <w:p w14:paraId="25C2FAB6" w14:textId="77777777" w:rsidR="00792164" w:rsidRDefault="00792164" w:rsidP="009B7CB4">
            <w:pPr>
              <w:ind w:firstLineChars="0" w:firstLine="0"/>
              <w:jc w:val="left"/>
              <w:rPr>
                <w:rFonts w:cs="Times New Roman"/>
                <w:sz w:val="18"/>
                <w:szCs w:val="18"/>
              </w:rPr>
            </w:pPr>
          </w:p>
        </w:tc>
        <w:tc>
          <w:tcPr>
            <w:tcW w:w="1129" w:type="dxa"/>
          </w:tcPr>
          <w:p w14:paraId="4418F1E2" w14:textId="77777777" w:rsidR="00792164" w:rsidRDefault="00792164" w:rsidP="009B7CB4">
            <w:pPr>
              <w:ind w:firstLineChars="0" w:firstLine="0"/>
              <w:jc w:val="left"/>
              <w:rPr>
                <w:rFonts w:cs="Times New Roman"/>
                <w:sz w:val="18"/>
                <w:szCs w:val="18"/>
              </w:rPr>
            </w:pPr>
          </w:p>
        </w:tc>
        <w:tc>
          <w:tcPr>
            <w:tcW w:w="1418" w:type="dxa"/>
          </w:tcPr>
          <w:p w14:paraId="0C04414F" w14:textId="77777777" w:rsidR="00792164" w:rsidRDefault="00792164" w:rsidP="009B7CB4">
            <w:pPr>
              <w:ind w:firstLineChars="0" w:firstLine="0"/>
              <w:jc w:val="left"/>
              <w:rPr>
                <w:rFonts w:cs="Times New Roman"/>
                <w:sz w:val="18"/>
                <w:szCs w:val="18"/>
              </w:rPr>
            </w:pPr>
          </w:p>
        </w:tc>
        <w:tc>
          <w:tcPr>
            <w:tcW w:w="1701" w:type="dxa"/>
          </w:tcPr>
          <w:p w14:paraId="1A4A3989" w14:textId="77777777" w:rsidR="00792164" w:rsidRDefault="00792164" w:rsidP="009B7CB4">
            <w:pPr>
              <w:ind w:firstLineChars="0" w:firstLine="0"/>
              <w:jc w:val="left"/>
              <w:rPr>
                <w:rFonts w:cs="Times New Roman"/>
                <w:sz w:val="18"/>
                <w:szCs w:val="18"/>
              </w:rPr>
            </w:pPr>
          </w:p>
        </w:tc>
      </w:tr>
      <w:tr w:rsidR="00792164" w14:paraId="588EC478" w14:textId="77777777" w:rsidTr="009B7CB4">
        <w:tc>
          <w:tcPr>
            <w:tcW w:w="2263" w:type="dxa"/>
          </w:tcPr>
          <w:p w14:paraId="5DEFDF6B" w14:textId="77777777" w:rsidR="00792164" w:rsidRDefault="00792164" w:rsidP="009B7CB4">
            <w:pPr>
              <w:ind w:firstLineChars="0" w:firstLine="0"/>
              <w:jc w:val="left"/>
              <w:rPr>
                <w:rFonts w:cs="Times New Roman"/>
                <w:sz w:val="18"/>
                <w:szCs w:val="18"/>
              </w:rPr>
            </w:pPr>
            <w:r>
              <w:rPr>
                <w:rFonts w:cs="Times New Roman"/>
                <w:sz w:val="18"/>
                <w:szCs w:val="18"/>
              </w:rPr>
              <w:t>Biofortification with the agronomic approach</w:t>
            </w:r>
          </w:p>
        </w:tc>
        <w:tc>
          <w:tcPr>
            <w:tcW w:w="714" w:type="dxa"/>
          </w:tcPr>
          <w:p w14:paraId="565AE928" w14:textId="77777777" w:rsidR="00792164" w:rsidRDefault="00792164" w:rsidP="009B7CB4">
            <w:pPr>
              <w:ind w:firstLineChars="0" w:firstLine="0"/>
              <w:jc w:val="left"/>
              <w:rPr>
                <w:rFonts w:cs="Times New Roman"/>
                <w:sz w:val="18"/>
                <w:szCs w:val="18"/>
              </w:rPr>
            </w:pPr>
            <w:r>
              <w:rPr>
                <w:rFonts w:cs="Times New Roman"/>
                <w:sz w:val="18"/>
                <w:szCs w:val="18"/>
              </w:rPr>
              <w:t>87.42</w:t>
            </w:r>
          </w:p>
        </w:tc>
        <w:tc>
          <w:tcPr>
            <w:tcW w:w="992" w:type="dxa"/>
          </w:tcPr>
          <w:p w14:paraId="78AF82D6" w14:textId="77777777" w:rsidR="00792164" w:rsidRDefault="00792164" w:rsidP="009B7CB4">
            <w:pPr>
              <w:ind w:firstLineChars="0" w:firstLine="0"/>
              <w:jc w:val="left"/>
              <w:rPr>
                <w:rFonts w:cs="Times New Roman"/>
                <w:sz w:val="18"/>
                <w:szCs w:val="18"/>
              </w:rPr>
            </w:pPr>
            <w:r>
              <w:rPr>
                <w:rFonts w:cs="Times New Roman"/>
                <w:sz w:val="18"/>
                <w:szCs w:val="18"/>
              </w:rPr>
              <w:t>-1.18</w:t>
            </w:r>
          </w:p>
        </w:tc>
        <w:tc>
          <w:tcPr>
            <w:tcW w:w="1129" w:type="dxa"/>
          </w:tcPr>
          <w:p w14:paraId="003B4DBF" w14:textId="77777777" w:rsidR="00792164" w:rsidRDefault="00792164" w:rsidP="009B7CB4">
            <w:pPr>
              <w:ind w:firstLineChars="0" w:firstLine="0"/>
              <w:jc w:val="left"/>
              <w:rPr>
                <w:rFonts w:cs="Times New Roman"/>
                <w:sz w:val="18"/>
                <w:szCs w:val="18"/>
              </w:rPr>
            </w:pPr>
            <w:r>
              <w:rPr>
                <w:rFonts w:cs="Times New Roman"/>
                <w:sz w:val="18"/>
                <w:szCs w:val="18"/>
              </w:rPr>
              <w:t>8.27</w:t>
            </w:r>
          </w:p>
        </w:tc>
        <w:tc>
          <w:tcPr>
            <w:tcW w:w="1418" w:type="dxa"/>
          </w:tcPr>
          <w:p w14:paraId="7E22518E" w14:textId="77777777" w:rsidR="00792164" w:rsidRDefault="00792164" w:rsidP="009B7CB4">
            <w:pPr>
              <w:ind w:firstLineChars="0" w:firstLine="0"/>
              <w:jc w:val="left"/>
              <w:rPr>
                <w:rFonts w:cs="Times New Roman"/>
                <w:sz w:val="18"/>
                <w:szCs w:val="18"/>
              </w:rPr>
            </w:pPr>
            <w:r>
              <w:rPr>
                <w:rFonts w:cs="Times New Roman"/>
                <w:sz w:val="18"/>
                <w:szCs w:val="18"/>
              </w:rPr>
              <w:t>0.01</w:t>
            </w:r>
          </w:p>
        </w:tc>
        <w:tc>
          <w:tcPr>
            <w:tcW w:w="1701" w:type="dxa"/>
          </w:tcPr>
          <w:p w14:paraId="059FA522" w14:textId="77777777" w:rsidR="00792164" w:rsidRDefault="00792164" w:rsidP="009B7CB4">
            <w:pPr>
              <w:ind w:firstLineChars="0" w:firstLine="0"/>
              <w:jc w:val="left"/>
              <w:rPr>
                <w:rFonts w:cs="Times New Roman"/>
                <w:sz w:val="18"/>
                <w:szCs w:val="18"/>
              </w:rPr>
            </w:pPr>
            <w:r>
              <w:rPr>
                <w:rFonts w:cs="Times New Roman"/>
                <w:sz w:val="18"/>
                <w:szCs w:val="18"/>
              </w:rPr>
              <w:t>-200.87</w:t>
            </w:r>
          </w:p>
        </w:tc>
      </w:tr>
      <w:tr w:rsidR="00792164" w14:paraId="5357A81A" w14:textId="77777777" w:rsidTr="009B7CB4">
        <w:tc>
          <w:tcPr>
            <w:tcW w:w="2263" w:type="dxa"/>
            <w:tcBorders>
              <w:bottom w:val="single" w:sz="4" w:space="0" w:color="auto"/>
            </w:tcBorders>
          </w:tcPr>
          <w:p w14:paraId="7814157E" w14:textId="77777777" w:rsidR="00792164" w:rsidRDefault="00792164" w:rsidP="009B7CB4">
            <w:pPr>
              <w:ind w:firstLineChars="0" w:firstLine="0"/>
              <w:jc w:val="left"/>
              <w:rPr>
                <w:rFonts w:cs="Times New Roman"/>
                <w:sz w:val="18"/>
                <w:szCs w:val="18"/>
              </w:rPr>
            </w:pPr>
            <w:r>
              <w:rPr>
                <w:rFonts w:cs="Times New Roman"/>
                <w:sz w:val="18"/>
                <w:szCs w:val="18"/>
              </w:rPr>
              <w:t>No intervention</w:t>
            </w:r>
          </w:p>
        </w:tc>
        <w:tc>
          <w:tcPr>
            <w:tcW w:w="714" w:type="dxa"/>
            <w:tcBorders>
              <w:bottom w:val="single" w:sz="4" w:space="0" w:color="auto"/>
            </w:tcBorders>
          </w:tcPr>
          <w:p w14:paraId="3589842D" w14:textId="77777777" w:rsidR="00792164" w:rsidRDefault="00792164" w:rsidP="009B7CB4">
            <w:pPr>
              <w:ind w:firstLineChars="0" w:firstLine="0"/>
              <w:jc w:val="left"/>
              <w:rPr>
                <w:rFonts w:cs="Times New Roman"/>
                <w:sz w:val="18"/>
                <w:szCs w:val="18"/>
              </w:rPr>
            </w:pPr>
            <w:r>
              <w:rPr>
                <w:rFonts w:cs="Times New Roman"/>
                <w:sz w:val="18"/>
                <w:szCs w:val="18"/>
              </w:rPr>
              <w:t>89.23</w:t>
            </w:r>
          </w:p>
        </w:tc>
        <w:tc>
          <w:tcPr>
            <w:tcW w:w="992" w:type="dxa"/>
            <w:tcBorders>
              <w:bottom w:val="single" w:sz="4" w:space="0" w:color="auto"/>
            </w:tcBorders>
          </w:tcPr>
          <w:p w14:paraId="77A0807F" w14:textId="77777777" w:rsidR="00792164" w:rsidRPr="005552F1"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t>
            </w:r>
          </w:p>
        </w:tc>
        <w:tc>
          <w:tcPr>
            <w:tcW w:w="1129" w:type="dxa"/>
            <w:tcBorders>
              <w:bottom w:val="single" w:sz="4" w:space="0" w:color="auto"/>
            </w:tcBorders>
          </w:tcPr>
          <w:p w14:paraId="636E7348" w14:textId="77777777" w:rsidR="00792164" w:rsidRDefault="00792164" w:rsidP="009B7CB4">
            <w:pPr>
              <w:ind w:firstLineChars="0" w:firstLine="0"/>
              <w:jc w:val="left"/>
              <w:rPr>
                <w:rFonts w:cs="Times New Roman"/>
                <w:sz w:val="18"/>
                <w:szCs w:val="18"/>
              </w:rPr>
            </w:pPr>
            <w:r>
              <w:rPr>
                <w:rFonts w:cs="Times New Roman"/>
                <w:sz w:val="18"/>
                <w:szCs w:val="18"/>
              </w:rPr>
              <w:t>8.26</w:t>
            </w:r>
          </w:p>
        </w:tc>
        <w:tc>
          <w:tcPr>
            <w:tcW w:w="1418" w:type="dxa"/>
            <w:tcBorders>
              <w:bottom w:val="single" w:sz="4" w:space="0" w:color="auto"/>
            </w:tcBorders>
          </w:tcPr>
          <w:p w14:paraId="1F4987C5" w14:textId="77777777" w:rsidR="00792164" w:rsidRPr="005552F1"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t>
            </w:r>
          </w:p>
        </w:tc>
        <w:tc>
          <w:tcPr>
            <w:tcW w:w="1701" w:type="dxa"/>
            <w:tcBorders>
              <w:bottom w:val="single" w:sz="4" w:space="0" w:color="auto"/>
            </w:tcBorders>
          </w:tcPr>
          <w:p w14:paraId="62EA58A5" w14:textId="77777777" w:rsidR="00792164" w:rsidRPr="005552F1" w:rsidRDefault="00792164" w:rsidP="009B7CB4">
            <w:pPr>
              <w:ind w:firstLineChars="0" w:firstLine="0"/>
              <w:jc w:val="left"/>
              <w:rPr>
                <w:rFonts w:eastAsiaTheme="minorEastAsia" w:cs="Times New Roman"/>
                <w:sz w:val="18"/>
                <w:szCs w:val="18"/>
              </w:rPr>
            </w:pPr>
            <w:r>
              <w:rPr>
                <w:rFonts w:eastAsiaTheme="minorEastAsia" w:cs="Times New Roman" w:hint="eastAsia"/>
                <w:sz w:val="18"/>
                <w:szCs w:val="18"/>
              </w:rPr>
              <w:t>-</w:t>
            </w:r>
          </w:p>
        </w:tc>
      </w:tr>
    </w:tbl>
    <w:p w14:paraId="64D8D871" w14:textId="77777777" w:rsidR="00792164" w:rsidRDefault="00792164" w:rsidP="00792164">
      <w:pPr>
        <w:ind w:firstLineChars="0" w:firstLine="0"/>
        <w:jc w:val="left"/>
        <w:rPr>
          <w:rFonts w:cs="Times New Roman"/>
          <w:sz w:val="18"/>
          <w:szCs w:val="18"/>
        </w:rPr>
      </w:pPr>
      <w:r>
        <w:rPr>
          <w:rFonts w:cs="Times New Roman"/>
          <w:sz w:val="18"/>
          <w:szCs w:val="18"/>
          <w:vertAlign w:val="superscript"/>
        </w:rPr>
        <w:t>1</w:t>
      </w:r>
      <w:r>
        <w:rPr>
          <w:rFonts w:cs="Times New Roman"/>
          <w:sz w:val="18"/>
          <w:szCs w:val="18"/>
        </w:rPr>
        <w:t>Numbers are on a per person of interventions basis. The currency of cost is USD.</w:t>
      </w:r>
    </w:p>
    <w:p w14:paraId="509DA327" w14:textId="37A71E44" w:rsidR="00792164" w:rsidRPr="00792164" w:rsidRDefault="00792164" w:rsidP="00792164">
      <w:pPr>
        <w:ind w:firstLineChars="0" w:firstLine="0"/>
        <w:jc w:val="left"/>
        <w:rPr>
          <w:rFonts w:eastAsiaTheme="minorEastAsia" w:cs="Times New Roman"/>
          <w:sz w:val="18"/>
          <w:szCs w:val="18"/>
        </w:rPr>
      </w:pPr>
      <w:r w:rsidRPr="00963381">
        <w:rPr>
          <w:rFonts w:cs="Times New Roman"/>
          <w:sz w:val="18"/>
          <w:szCs w:val="18"/>
          <w:vertAlign w:val="superscript"/>
        </w:rPr>
        <w:t>2</w:t>
      </w:r>
      <w:r w:rsidRPr="006236BE">
        <w:rPr>
          <w:rFonts w:cs="Times New Roman"/>
          <w:sz w:val="18"/>
          <w:szCs w:val="18"/>
        </w:rPr>
        <w:t>QALY: Quality-adjusted life year</w:t>
      </w:r>
      <w:r>
        <w:rPr>
          <w:rFonts w:cs="Times New Roman"/>
          <w:sz w:val="18"/>
          <w:szCs w:val="18"/>
        </w:rPr>
        <w:t>;</w:t>
      </w:r>
      <w:r w:rsidRPr="006236BE">
        <w:rPr>
          <w:rFonts w:cs="Times New Roman"/>
          <w:sz w:val="18"/>
          <w:szCs w:val="18"/>
        </w:rPr>
        <w:t xml:space="preserve"> </w:t>
      </w:r>
      <w:r>
        <w:rPr>
          <w:rFonts w:cs="Times New Roman"/>
          <w:sz w:val="18"/>
          <w:szCs w:val="18"/>
        </w:rPr>
        <w:t xml:space="preserve">ICER: Incremental cost-effectiveness ratio; </w:t>
      </w:r>
    </w:p>
    <w:p w14:paraId="14756025" w14:textId="77777777" w:rsidR="003665EA" w:rsidRPr="00792164" w:rsidRDefault="003665EA" w:rsidP="00EA70CC">
      <w:pPr>
        <w:ind w:firstLine="480"/>
        <w:jc w:val="center"/>
      </w:pPr>
    </w:p>
    <w:p w14:paraId="3E88E349" w14:textId="2988DFD2" w:rsidR="00035381" w:rsidRPr="009248AA" w:rsidRDefault="00827602">
      <w:pPr>
        <w:ind w:firstLine="480"/>
        <w:rPr>
          <w:rFonts w:cs="Times New Roman"/>
          <w:szCs w:val="24"/>
        </w:rPr>
      </w:pPr>
      <w:r>
        <w:rPr>
          <w:rFonts w:cs="Times New Roman"/>
          <w:szCs w:val="24"/>
        </w:rPr>
        <w:t xml:space="preserve">Our study </w:t>
      </w:r>
      <w:r w:rsidR="008C0054">
        <w:rPr>
          <w:rFonts w:cs="Times New Roman"/>
          <w:szCs w:val="24"/>
        </w:rPr>
        <w:t xml:space="preserve">highlights </w:t>
      </w:r>
      <w:r>
        <w:rPr>
          <w:rFonts w:cs="Times New Roman"/>
          <w:szCs w:val="24"/>
        </w:rPr>
        <w:t xml:space="preserve">the importance of </w:t>
      </w:r>
      <w:r w:rsidR="00C75887">
        <w:rPr>
          <w:rFonts w:cs="Times New Roman"/>
          <w:szCs w:val="24"/>
        </w:rPr>
        <w:t>considering</w:t>
      </w:r>
      <w:r w:rsidR="00117B85">
        <w:rPr>
          <w:rFonts w:cs="Times New Roman"/>
          <w:szCs w:val="24"/>
        </w:rPr>
        <w:t xml:space="preserve"> </w:t>
      </w:r>
      <w:r w:rsidR="00C75887">
        <w:rPr>
          <w:rFonts w:cs="Times New Roman"/>
          <w:szCs w:val="24"/>
        </w:rPr>
        <w:t xml:space="preserve">the </w:t>
      </w:r>
      <w:r w:rsidR="00117B85">
        <w:rPr>
          <w:rFonts w:cs="Times New Roman"/>
          <w:szCs w:val="24"/>
        </w:rPr>
        <w:t>risks</w:t>
      </w:r>
      <w:r w:rsidR="00C75887">
        <w:rPr>
          <w:rFonts w:cs="Times New Roman"/>
          <w:szCs w:val="24"/>
        </w:rPr>
        <w:t xml:space="preserve"> of overconsumption</w:t>
      </w:r>
      <w:r w:rsidR="00117B85">
        <w:rPr>
          <w:rFonts w:cs="Times New Roman"/>
          <w:szCs w:val="24"/>
        </w:rPr>
        <w:t xml:space="preserve"> </w:t>
      </w:r>
      <w:r w:rsidR="00C75887">
        <w:rPr>
          <w:rFonts w:cs="Times New Roman"/>
          <w:szCs w:val="24"/>
        </w:rPr>
        <w:t xml:space="preserve">when </w:t>
      </w:r>
      <w:r>
        <w:rPr>
          <w:rFonts w:cs="Times New Roman"/>
          <w:szCs w:val="24"/>
        </w:rPr>
        <w:t xml:space="preserve">evaluating micronutrient interventions. </w:t>
      </w:r>
      <w:r w:rsidR="008C0054" w:rsidRPr="00193F43">
        <w:rPr>
          <w:rFonts w:cs="Times New Roman"/>
          <w:szCs w:val="24"/>
        </w:rPr>
        <w:t>A</w:t>
      </w:r>
      <w:r w:rsidR="00565304" w:rsidRPr="00193F43">
        <w:rPr>
          <w:rFonts w:cs="Times New Roman"/>
          <w:szCs w:val="24"/>
        </w:rPr>
        <w:t xml:space="preserve">lthough zinc supplementation </w:t>
      </w:r>
      <w:r w:rsidR="001F365F" w:rsidRPr="00193F43">
        <w:rPr>
          <w:rFonts w:cs="Times New Roman"/>
          <w:szCs w:val="24"/>
        </w:rPr>
        <w:t>is still a</w:t>
      </w:r>
      <w:r w:rsidR="002318FC" w:rsidRPr="00193F43">
        <w:rPr>
          <w:rFonts w:cs="Times New Roman"/>
          <w:szCs w:val="24"/>
        </w:rPr>
        <w:t xml:space="preserve"> highly</w:t>
      </w:r>
      <w:r w:rsidR="001F365F" w:rsidRPr="00193F43">
        <w:rPr>
          <w:rFonts w:cs="Times New Roman"/>
          <w:szCs w:val="24"/>
        </w:rPr>
        <w:t xml:space="preserve"> cost-effective approach</w:t>
      </w:r>
      <w:r w:rsidR="008C0054" w:rsidRPr="00193F43">
        <w:rPr>
          <w:rFonts w:cs="Times New Roman"/>
          <w:szCs w:val="24"/>
        </w:rPr>
        <w:t xml:space="preserve"> in our estimation</w:t>
      </w:r>
      <w:r w:rsidR="00565304" w:rsidRPr="00193F43">
        <w:rPr>
          <w:rFonts w:cs="Times New Roman"/>
          <w:szCs w:val="24"/>
        </w:rPr>
        <w:t xml:space="preserve">, </w:t>
      </w:r>
      <w:r w:rsidR="003A2924" w:rsidRPr="00193F43">
        <w:rPr>
          <w:rFonts w:cs="Times New Roman"/>
          <w:szCs w:val="24"/>
        </w:rPr>
        <w:t xml:space="preserve">more scientific evidence </w:t>
      </w:r>
      <w:r w:rsidR="008C0054" w:rsidRPr="00193F43">
        <w:rPr>
          <w:rFonts w:cs="Times New Roman"/>
          <w:szCs w:val="24"/>
        </w:rPr>
        <w:t xml:space="preserve">is needed </w:t>
      </w:r>
      <w:r w:rsidR="003A2924" w:rsidRPr="00193F43">
        <w:rPr>
          <w:rFonts w:cs="Times New Roman"/>
          <w:szCs w:val="24"/>
        </w:rPr>
        <w:t xml:space="preserve">to </w:t>
      </w:r>
      <w:r w:rsidR="00C75887">
        <w:rPr>
          <w:rFonts w:cs="Times New Roman"/>
          <w:szCs w:val="24"/>
        </w:rPr>
        <w:t>assess</w:t>
      </w:r>
      <w:r w:rsidR="00C75887" w:rsidRPr="00193F43">
        <w:rPr>
          <w:rFonts w:cs="Times New Roman"/>
          <w:szCs w:val="24"/>
        </w:rPr>
        <w:t xml:space="preserve"> </w:t>
      </w:r>
      <w:r w:rsidR="00C75887">
        <w:rPr>
          <w:rFonts w:cs="Times New Roman"/>
          <w:szCs w:val="24"/>
        </w:rPr>
        <w:t>the</w:t>
      </w:r>
      <w:r w:rsidR="003A2924" w:rsidRPr="00193F43">
        <w:rPr>
          <w:rFonts w:cs="Times New Roman"/>
          <w:szCs w:val="24"/>
        </w:rPr>
        <w:t xml:space="preserve"> potential adverse impacts</w:t>
      </w:r>
      <w:r w:rsidR="00C75887">
        <w:rPr>
          <w:rFonts w:cs="Times New Roman"/>
          <w:szCs w:val="24"/>
        </w:rPr>
        <w:t xml:space="preserve"> of</w:t>
      </w:r>
      <w:r w:rsidR="003A2924" w:rsidRPr="00193F43">
        <w:rPr>
          <w:rFonts w:cs="Times New Roman"/>
          <w:szCs w:val="24"/>
        </w:rPr>
        <w:t xml:space="preserve"> zinc overdose in the whole population</w:t>
      </w:r>
      <w:r w:rsidR="00565304" w:rsidRPr="00193F43">
        <w:rPr>
          <w:rFonts w:cs="Times New Roman"/>
          <w:szCs w:val="24"/>
        </w:rPr>
        <w:t>.</w:t>
      </w:r>
      <w:r w:rsidR="00565304">
        <w:rPr>
          <w:rFonts w:cs="Times New Roman"/>
          <w:szCs w:val="24"/>
        </w:rPr>
        <w:t xml:space="preserve"> </w:t>
      </w:r>
      <w:r w:rsidR="008C0054">
        <w:rPr>
          <w:rFonts w:cs="Times New Roman"/>
          <w:szCs w:val="24"/>
        </w:rPr>
        <w:t>As such</w:t>
      </w:r>
      <w:r w:rsidR="00565304">
        <w:rPr>
          <w:rFonts w:cs="Times New Roman"/>
          <w:szCs w:val="24"/>
        </w:rPr>
        <w:t xml:space="preserve">, </w:t>
      </w:r>
      <w:r>
        <w:rPr>
          <w:rFonts w:cs="Times New Roman"/>
          <w:szCs w:val="24"/>
        </w:rPr>
        <w:t xml:space="preserve">large-scale </w:t>
      </w:r>
      <w:r w:rsidR="004C22F3">
        <w:rPr>
          <w:rFonts w:cs="Times New Roman"/>
          <w:szCs w:val="24"/>
        </w:rPr>
        <w:t>indiscriminate</w:t>
      </w:r>
      <w:r w:rsidR="002B323B">
        <w:rPr>
          <w:rFonts w:cs="Times New Roman"/>
          <w:szCs w:val="24"/>
        </w:rPr>
        <w:t xml:space="preserve"> distribution of</w:t>
      </w:r>
      <w:r>
        <w:rPr>
          <w:rFonts w:cs="Times New Roman"/>
          <w:szCs w:val="24"/>
        </w:rPr>
        <w:t xml:space="preserve"> zinc supplementation </w:t>
      </w:r>
      <w:r w:rsidR="003F07E1">
        <w:rPr>
          <w:rFonts w:cs="Times New Roman"/>
          <w:szCs w:val="24"/>
        </w:rPr>
        <w:t xml:space="preserve">might </w:t>
      </w:r>
      <w:r>
        <w:rPr>
          <w:rFonts w:cs="Times New Roman"/>
          <w:szCs w:val="24"/>
        </w:rPr>
        <w:t xml:space="preserve">not be an effective way to </w:t>
      </w:r>
      <w:r w:rsidR="002C4256">
        <w:rPr>
          <w:rFonts w:cs="Times New Roman"/>
          <w:szCs w:val="24"/>
        </w:rPr>
        <w:t xml:space="preserve">combat </w:t>
      </w:r>
      <w:r>
        <w:rPr>
          <w:rFonts w:cs="Times New Roman"/>
          <w:szCs w:val="24"/>
        </w:rPr>
        <w:t xml:space="preserve">zinc deficiency </w:t>
      </w:r>
      <w:r w:rsidR="002C4256">
        <w:rPr>
          <w:rFonts w:cs="Times New Roman"/>
          <w:szCs w:val="24"/>
        </w:rPr>
        <w:t xml:space="preserve">in </w:t>
      </w:r>
      <w:r>
        <w:rPr>
          <w:rFonts w:cs="Times New Roman"/>
          <w:szCs w:val="24"/>
        </w:rPr>
        <w:t>children</w:t>
      </w:r>
      <w:r w:rsidR="003F07E1">
        <w:rPr>
          <w:rFonts w:cs="Times New Roman"/>
          <w:szCs w:val="24"/>
        </w:rPr>
        <w:t xml:space="preserve"> in developed </w:t>
      </w:r>
      <w:r w:rsidR="008C0054">
        <w:rPr>
          <w:rFonts w:cs="Times New Roman"/>
          <w:szCs w:val="24"/>
        </w:rPr>
        <w:t xml:space="preserve">regions </w:t>
      </w:r>
      <w:r w:rsidR="002318FC">
        <w:rPr>
          <w:rFonts w:cs="Times New Roman"/>
          <w:szCs w:val="24"/>
        </w:rPr>
        <w:t xml:space="preserve">where </w:t>
      </w:r>
      <w:r w:rsidR="008C0054">
        <w:rPr>
          <w:rFonts w:cs="Times New Roman"/>
          <w:szCs w:val="24"/>
        </w:rPr>
        <w:t xml:space="preserve">the </w:t>
      </w:r>
      <w:r>
        <w:rPr>
          <w:rFonts w:cs="Times New Roman"/>
          <w:szCs w:val="24"/>
        </w:rPr>
        <w:t xml:space="preserve">risks associated with excessive intake </w:t>
      </w:r>
      <w:r w:rsidR="002C4256">
        <w:rPr>
          <w:rFonts w:cs="Times New Roman"/>
          <w:szCs w:val="24"/>
        </w:rPr>
        <w:t xml:space="preserve">may </w:t>
      </w:r>
      <w:r>
        <w:rPr>
          <w:rFonts w:cs="Times New Roman"/>
          <w:szCs w:val="24"/>
        </w:rPr>
        <w:t xml:space="preserve">outweigh the loss deprived from zinc </w:t>
      </w:r>
      <w:r w:rsidR="00564B3D">
        <w:rPr>
          <w:rFonts w:cs="Times New Roman"/>
          <w:szCs w:val="24"/>
        </w:rPr>
        <w:t>deficiency</w:t>
      </w:r>
      <w:r>
        <w:rPr>
          <w:rFonts w:cs="Times New Roman"/>
          <w:szCs w:val="24"/>
        </w:rPr>
        <w:t>.</w:t>
      </w:r>
      <w:r w:rsidR="00565304">
        <w:rPr>
          <w:rFonts w:cs="Times New Roman"/>
          <w:szCs w:val="24"/>
        </w:rPr>
        <w:t xml:space="preserve"> This </w:t>
      </w:r>
      <w:r w:rsidR="00384B99">
        <w:rPr>
          <w:rFonts w:cs="Times New Roman"/>
          <w:szCs w:val="24"/>
        </w:rPr>
        <w:t>co</w:t>
      </w:r>
      <w:r w:rsidR="00384B99" w:rsidRPr="0050683B">
        <w:rPr>
          <w:rFonts w:cs="Times New Roman"/>
          <w:szCs w:val="24"/>
        </w:rPr>
        <w:t xml:space="preserve">nclusion </w:t>
      </w:r>
      <w:r w:rsidR="00565304" w:rsidRPr="0050683B">
        <w:rPr>
          <w:rFonts w:cs="Times New Roman"/>
          <w:szCs w:val="24"/>
        </w:rPr>
        <w:t>is consistent with</w:t>
      </w:r>
      <w:r w:rsidR="00F375D7" w:rsidRPr="0050683B">
        <w:rPr>
          <w:rFonts w:cs="Times New Roman"/>
          <w:szCs w:val="24"/>
        </w:rPr>
        <w:t xml:space="preserve"> </w:t>
      </w:r>
      <w:r w:rsidR="00621700" w:rsidRPr="0050683B">
        <w:rPr>
          <w:rFonts w:cs="Times New Roman"/>
          <w:szCs w:val="24"/>
        </w:rPr>
        <w:fldChar w:fldCharType="begin" w:fldLock="1"/>
      </w:r>
      <w:r w:rsidR="00F417F3">
        <w:rPr>
          <w:rFonts w:cs="Times New Roman"/>
          <w:szCs w:val="24"/>
        </w:rPr>
        <w:instrText>ADDIN CSL_CITATION {"citationItems":[{"id":"ITEM-1","itemData":{"ISSN":"0946-672X","author":[{"dropping-particle":"","family":"Maret","given":"Wolfgang","non-dropping-particle":"","parse-names":false,"suffix":""},{"dropping-particle":"","family":"Sandstead","given":"Harold H","non-dropping-particle":"","parse-names":false,"suffix":""}],"container-title":"Journal of trace elements in medicine and biology","id":"ITEM-1","issue":"1","issued":{"date-parts":[["2006"]]},"page":"3-18","publisher":"Elsevier","title":"Zinc requirements and the risks and benefits of zinc supplementation","type":"article-journal","volume":"20"},"uris":["http://www.mendeley.com/documents/?uuid=41d5e68a-edda-4b0a-9f7d-1a530d1019a9"]}],"mendeley":{"formattedCitation":"(Maret and Sandstead, 2006)","manualFormatting":"Maret and Sandstead (2006)","plainTextFormattedCitation":"(Maret and Sandstead, 2006)","previouslyFormattedCitation":"(Maret and Sandstead, 2006)"},"properties":{"noteIndex":0},"schema":"https://github.com/citation-style-language/schema/raw/master/csl-citation.json"}</w:instrText>
      </w:r>
      <w:r w:rsidR="00621700" w:rsidRPr="0050683B">
        <w:rPr>
          <w:rFonts w:cs="Times New Roman"/>
          <w:szCs w:val="24"/>
        </w:rPr>
        <w:fldChar w:fldCharType="separate"/>
      </w:r>
      <w:r w:rsidR="00621700" w:rsidRPr="0050683B">
        <w:rPr>
          <w:rFonts w:cs="Times New Roman"/>
          <w:noProof/>
          <w:szCs w:val="24"/>
        </w:rPr>
        <w:t xml:space="preserve">Maret </w:t>
      </w:r>
      <w:r w:rsidR="004C22F3" w:rsidRPr="0050683B">
        <w:rPr>
          <w:rFonts w:cs="Times New Roman"/>
          <w:noProof/>
          <w:szCs w:val="24"/>
        </w:rPr>
        <w:t>and</w:t>
      </w:r>
      <w:r w:rsidR="00621700" w:rsidRPr="0050683B">
        <w:rPr>
          <w:rFonts w:cs="Times New Roman"/>
          <w:noProof/>
          <w:szCs w:val="24"/>
        </w:rPr>
        <w:t xml:space="preserve"> Sandstead</w:t>
      </w:r>
      <w:r w:rsidR="004C22F3" w:rsidRPr="0050683B">
        <w:rPr>
          <w:rFonts w:cs="Times New Roman"/>
          <w:noProof/>
          <w:szCs w:val="24"/>
        </w:rPr>
        <w:t xml:space="preserve"> (</w:t>
      </w:r>
      <w:r w:rsidR="00621700" w:rsidRPr="0050683B">
        <w:rPr>
          <w:rFonts w:cs="Times New Roman"/>
          <w:noProof/>
          <w:szCs w:val="24"/>
        </w:rPr>
        <w:t>2006)</w:t>
      </w:r>
      <w:r w:rsidR="00621700" w:rsidRPr="0050683B">
        <w:rPr>
          <w:rFonts w:cs="Times New Roman"/>
          <w:szCs w:val="24"/>
        </w:rPr>
        <w:fldChar w:fldCharType="end"/>
      </w:r>
      <w:r w:rsidR="00565304" w:rsidRPr="0050683B">
        <w:rPr>
          <w:rFonts w:cs="Times New Roman"/>
          <w:szCs w:val="24"/>
        </w:rPr>
        <w:t>, who suggested that long-term zinc supplementation should not b</w:t>
      </w:r>
      <w:r w:rsidR="00565304">
        <w:rPr>
          <w:rFonts w:cs="Times New Roman"/>
          <w:szCs w:val="24"/>
        </w:rPr>
        <w:t xml:space="preserve">e conducted as a public policy intervention without </w:t>
      </w:r>
      <w:r w:rsidR="004C22F3">
        <w:rPr>
          <w:rFonts w:cs="Times New Roman"/>
          <w:szCs w:val="24"/>
        </w:rPr>
        <w:t xml:space="preserve">careful </w:t>
      </w:r>
      <w:r w:rsidR="00565304">
        <w:rPr>
          <w:rFonts w:cs="Times New Roman"/>
          <w:szCs w:val="24"/>
        </w:rPr>
        <w:t xml:space="preserve">supervision. </w:t>
      </w:r>
      <w:r w:rsidR="008C0054">
        <w:rPr>
          <w:rFonts w:cs="Times New Roman"/>
          <w:szCs w:val="24"/>
        </w:rPr>
        <w:t xml:space="preserve">Also </w:t>
      </w:r>
      <w:r w:rsidR="00246FCE">
        <w:rPr>
          <w:rFonts w:cs="Times New Roman"/>
          <w:szCs w:val="24"/>
        </w:rPr>
        <w:t xml:space="preserve">indiscriminate </w:t>
      </w:r>
      <w:r w:rsidR="002B323B">
        <w:rPr>
          <w:rFonts w:cs="Times New Roman"/>
          <w:szCs w:val="24"/>
        </w:rPr>
        <w:t xml:space="preserve">addition of </w:t>
      </w:r>
      <w:r w:rsidR="00246FCE">
        <w:rPr>
          <w:rFonts w:cs="Times New Roman"/>
          <w:szCs w:val="24"/>
        </w:rPr>
        <w:t xml:space="preserve">food </w:t>
      </w:r>
      <w:proofErr w:type="spellStart"/>
      <w:r w:rsidR="002B323B">
        <w:rPr>
          <w:rFonts w:cs="Times New Roman"/>
          <w:szCs w:val="24"/>
        </w:rPr>
        <w:t>fortificants</w:t>
      </w:r>
      <w:proofErr w:type="spellEnd"/>
      <w:r w:rsidR="002B323B">
        <w:rPr>
          <w:rFonts w:cs="Times New Roman"/>
          <w:szCs w:val="24"/>
        </w:rPr>
        <w:t xml:space="preserve"> </w:t>
      </w:r>
      <w:r w:rsidR="008C0054">
        <w:rPr>
          <w:rFonts w:cs="Times New Roman"/>
          <w:szCs w:val="24"/>
        </w:rPr>
        <w:t xml:space="preserve">is </w:t>
      </w:r>
      <w:r w:rsidR="0050683B">
        <w:rPr>
          <w:rFonts w:cs="Times New Roman"/>
          <w:szCs w:val="24"/>
        </w:rPr>
        <w:t xml:space="preserve">a matter that </w:t>
      </w:r>
      <w:r w:rsidR="00246FCE" w:rsidRPr="00246FCE">
        <w:rPr>
          <w:rFonts w:cs="Times New Roman"/>
          <w:szCs w:val="24"/>
        </w:rPr>
        <w:t xml:space="preserve">deserves </w:t>
      </w:r>
      <w:r w:rsidR="0050683B">
        <w:rPr>
          <w:rFonts w:cs="Times New Roman"/>
          <w:szCs w:val="24"/>
        </w:rPr>
        <w:t xml:space="preserve">further </w:t>
      </w:r>
      <w:r w:rsidR="00246FCE" w:rsidRPr="00246FCE">
        <w:rPr>
          <w:rFonts w:cs="Times New Roman"/>
          <w:szCs w:val="24"/>
        </w:rPr>
        <w:t xml:space="preserve">attention </w:t>
      </w:r>
      <w:r w:rsidR="0050683B">
        <w:rPr>
          <w:rFonts w:cs="Times New Roman"/>
          <w:szCs w:val="24"/>
        </w:rPr>
        <w:t xml:space="preserve">since </w:t>
      </w:r>
      <w:r w:rsidR="00246FCE" w:rsidRPr="00246FCE">
        <w:rPr>
          <w:rFonts w:cs="Times New Roman"/>
          <w:szCs w:val="24"/>
        </w:rPr>
        <w:t xml:space="preserve">foods are </w:t>
      </w:r>
      <w:r w:rsidR="00921E52">
        <w:rPr>
          <w:rFonts w:cs="Times New Roman"/>
          <w:szCs w:val="24"/>
        </w:rPr>
        <w:t xml:space="preserve">increasingly </w:t>
      </w:r>
      <w:r w:rsidR="00246FCE" w:rsidRPr="00246FCE">
        <w:rPr>
          <w:rFonts w:cs="Times New Roman"/>
          <w:szCs w:val="24"/>
        </w:rPr>
        <w:t>being</w:t>
      </w:r>
      <w:r w:rsidR="0050683B">
        <w:rPr>
          <w:rFonts w:cs="Times New Roman"/>
          <w:szCs w:val="24"/>
        </w:rPr>
        <w:t xml:space="preserve"> </w:t>
      </w:r>
      <w:r w:rsidR="00246FCE" w:rsidRPr="00246FCE">
        <w:rPr>
          <w:rFonts w:cs="Times New Roman"/>
          <w:szCs w:val="24"/>
        </w:rPr>
        <w:t>fortified with</w:t>
      </w:r>
      <w:r w:rsidR="0050683B">
        <w:rPr>
          <w:rFonts w:cs="Times New Roman"/>
          <w:szCs w:val="24"/>
        </w:rPr>
        <w:t xml:space="preserve"> </w:t>
      </w:r>
      <w:r w:rsidR="0050683B">
        <w:rPr>
          <w:rFonts w:cs="Times New Roman"/>
          <w:szCs w:val="24"/>
        </w:rPr>
        <w:lastRenderedPageBreak/>
        <w:t>micronutrients</w:t>
      </w:r>
      <w:r w:rsidR="0059621F">
        <w:rPr>
          <w:rFonts w:cs="Times New Roman"/>
          <w:szCs w:val="24"/>
        </w:rPr>
        <w:t xml:space="preserve"> </w:t>
      </w:r>
      <w:r w:rsidR="0059621F">
        <w:rPr>
          <w:rFonts w:cs="Times New Roman"/>
          <w:szCs w:val="24"/>
        </w:rPr>
        <w:fldChar w:fldCharType="begin" w:fldLock="1"/>
      </w:r>
      <w:r w:rsidR="002B323B">
        <w:rPr>
          <w:rFonts w:cs="Times New Roman"/>
          <w:szCs w:val="24"/>
        </w:rPr>
        <w:instrText>ADDIN CSL_CITATION {"citationItems":[{"id":"ITEM-1","itemData":{"author":[{"dropping-particle":"","family":"Allen","given":"Lindsay","non-dropping-particle":"","parse-names":false,"suffix":""},{"dropping-particle":"","family":"Benoist","given":"Bruno","non-dropping-particle":"","parse-names":false,"suffix":""},{"dropping-particle":"","family":"Dary","given":"Omar","non-dropping-particle":"","parse-names":false,"suffix":""},{"dropping-particle":"","family":"Hurrell","given":"Richard","non-dropping-particle":"","parse-names":false,"suffix":""}],"container-title":"Geneva: WHO","id":"ITEM-1","issued":{"date-parts":[["2006"]]},"title":"WHO/FAO Guidelines on Food Fortification with Micronutrients","type":"book"},"uris":["http://www.mendeley.com/documents/?uuid=0708d724-7028-43eb-95d4-1f0615d90af4"]},{"id":"ITEM-2","itemData":{"DOI":"10.3967/bes2016.120","ISSN":"08953988","PMID":"28081751","abstract":"In the Chinese national nutrition surveys, fortified foods were not investigated separately from the base diet, and the contribution of fortified foods to micronutrients intake is not very clear. This study investigated the diet, including fortified foods and food supplements, of urban pregnant women and analyzed the intake of calcium, iron, and zinc to assess the corresponding contributions of fortified foods, food supplements, and the base diet. The results demonstrated that the base diet was the major source of calcium, iron, and zinc, and was recommended to be the first choice for micronutrients intake. Furthermore, consumption of fortified foods and food supplements offered effective approaches to improve the dietary intake of calcium, iron, and zinc in Chinese urban pregnant women.","author":[{"dropping-particle":"","family":"Jia","given":"Hai Xian","non-dropping-particle":"","parse-names":false,"suffix":""},{"dropping-particle":"","family":"Han","given":"Jun Hua","non-dropping-particle":"","parse-names":false,"suffix":""},{"dropping-particle":"","family":"Li","given":"Hu Zhong","non-dropping-particle":"","parse-names":false,"suffix":""},{"dropping-particle":"","family":"Liang","given":"Dong","non-dropping-particle":"","parse-names":false,"suffix":""},{"dropping-particle":"","family":"Deng","given":"Tao Tao","non-dropping-particle":"","parse-names":false,"suffix":""},{"dropping-particle":"","family":"Chang","given":"Su Ying","non-dropping-particle":"","parse-names":false,"suffix":""}],"container-title":"Biomedical and Environmental Sciences","id":"ITEM-2","issue":"12","issued":{"date-parts":[["2016"]]},"page":"898-901","title":"Mineral Intake in Urban Pregnant Women from Base Diet, Fortified Foods, and Food Supplements: Focus on Calcium, Iron, and Zinc","type":"article-journal","volume":"29"},"uris":["http://www.mendeley.com/documents/?uuid=acca2f9e-b8b9-4669-9119-6737d8f5bce1"]}],"mendeley":{"formattedCitation":"(Allen &lt;i&gt;et al.&lt;/i&gt;, 2006; Jia &lt;i&gt;et al.&lt;/i&gt;, 2016)","plainTextFormattedCitation":"(Allen et al., 2006; Jia et al., 2016)","previouslyFormattedCitation":"(Allen &lt;i&gt;et al.&lt;/i&gt;, 2006; Jia &lt;i&gt;et al.&lt;/i&gt;, 2016)"},"properties":{"noteIndex":0},"schema":"https://github.com/citation-style-language/schema/raw/master/csl-citation.json"}</w:instrText>
      </w:r>
      <w:r w:rsidR="0059621F">
        <w:rPr>
          <w:rFonts w:cs="Times New Roman"/>
          <w:szCs w:val="24"/>
        </w:rPr>
        <w:fldChar w:fldCharType="separate"/>
      </w:r>
      <w:r w:rsidR="002B323B" w:rsidRPr="002B323B">
        <w:rPr>
          <w:rFonts w:cs="Times New Roman"/>
          <w:noProof/>
          <w:szCs w:val="24"/>
        </w:rPr>
        <w:t xml:space="preserve">(Allen </w:t>
      </w:r>
      <w:r w:rsidR="002B323B" w:rsidRPr="002B323B">
        <w:rPr>
          <w:rFonts w:cs="Times New Roman"/>
          <w:i/>
          <w:noProof/>
          <w:szCs w:val="24"/>
        </w:rPr>
        <w:t>et al.</w:t>
      </w:r>
      <w:r w:rsidR="002B323B" w:rsidRPr="002B323B">
        <w:rPr>
          <w:rFonts w:cs="Times New Roman"/>
          <w:noProof/>
          <w:szCs w:val="24"/>
        </w:rPr>
        <w:t xml:space="preserve">, 2006; Jia </w:t>
      </w:r>
      <w:r w:rsidR="002B323B" w:rsidRPr="002B323B">
        <w:rPr>
          <w:rFonts w:cs="Times New Roman"/>
          <w:i/>
          <w:noProof/>
          <w:szCs w:val="24"/>
        </w:rPr>
        <w:t>et al.</w:t>
      </w:r>
      <w:r w:rsidR="002B323B" w:rsidRPr="002B323B">
        <w:rPr>
          <w:rFonts w:cs="Times New Roman"/>
          <w:noProof/>
          <w:szCs w:val="24"/>
        </w:rPr>
        <w:t>, 2016)</w:t>
      </w:r>
      <w:r w:rsidR="0059621F">
        <w:rPr>
          <w:rFonts w:cs="Times New Roman"/>
          <w:szCs w:val="24"/>
        </w:rPr>
        <w:fldChar w:fldCharType="end"/>
      </w:r>
      <w:r w:rsidR="0050683B">
        <w:rPr>
          <w:rFonts w:cs="Times New Roman"/>
          <w:szCs w:val="24"/>
        </w:rPr>
        <w:t xml:space="preserve">. </w:t>
      </w:r>
      <w:r w:rsidR="002B323B" w:rsidRPr="002B323B">
        <w:rPr>
          <w:rFonts w:cs="Times New Roman"/>
          <w:szCs w:val="24"/>
        </w:rPr>
        <w:t xml:space="preserve"> </w:t>
      </w:r>
      <w:r w:rsidR="002B323B">
        <w:rPr>
          <w:rFonts w:cs="Times New Roman"/>
          <w:szCs w:val="24"/>
        </w:rPr>
        <w:t xml:space="preserve">The situation of excessive zinc intake in </w:t>
      </w:r>
      <w:r w:rsidR="002C4256">
        <w:rPr>
          <w:rFonts w:cs="Times New Roman"/>
          <w:szCs w:val="24"/>
        </w:rPr>
        <w:t xml:space="preserve">the </w:t>
      </w:r>
      <w:r w:rsidR="002B323B">
        <w:rPr>
          <w:rFonts w:cs="Times New Roman"/>
          <w:szCs w:val="24"/>
        </w:rPr>
        <w:t xml:space="preserve">population induced by fortified foods </w:t>
      </w:r>
      <w:r w:rsidR="002C4256">
        <w:rPr>
          <w:rFonts w:cs="Times New Roman"/>
          <w:szCs w:val="24"/>
        </w:rPr>
        <w:t xml:space="preserve">has </w:t>
      </w:r>
      <w:r w:rsidR="002B323B">
        <w:rPr>
          <w:rFonts w:cs="Times New Roman"/>
          <w:szCs w:val="24"/>
        </w:rPr>
        <w:t xml:space="preserve">already been reported in some of the high-income regions/countries, such as the United States, where the addition of food </w:t>
      </w:r>
      <w:proofErr w:type="spellStart"/>
      <w:r w:rsidR="002B323B">
        <w:rPr>
          <w:rFonts w:cs="Times New Roman"/>
          <w:szCs w:val="24"/>
        </w:rPr>
        <w:t>fortificants</w:t>
      </w:r>
      <w:proofErr w:type="spellEnd"/>
      <w:r w:rsidR="002B323B">
        <w:rPr>
          <w:rFonts w:cs="Times New Roman"/>
          <w:szCs w:val="24"/>
        </w:rPr>
        <w:t xml:space="preserve"> increased the percentage of children exceeding the zinc intake UL to 18-24%</w:t>
      </w:r>
      <w:r w:rsidR="002B323B">
        <w:rPr>
          <w:rFonts w:cs="Times New Roman"/>
          <w:szCs w:val="24"/>
        </w:rPr>
        <w:fldChar w:fldCharType="begin" w:fldLock="1"/>
      </w:r>
      <w:r w:rsidR="002B323B">
        <w:rPr>
          <w:rFonts w:cs="Times New Roman"/>
          <w:szCs w:val="24"/>
        </w:rPr>
        <w:instrText>ADDIN CSL_CITATION {"citationItems":[{"id":"ITEM-1","itemData":{"ISSN":"0022-3166","author":[{"dropping-particle":"","family":"Fulgoni III","given":"Victor L","non-dropping-particle":"","parse-names":false,"suffix":""},{"dropping-particle":"","family":"Keast","given":"Debra R","non-dropping-particle":"","parse-names":false,"suffix":""},{"dropping-particle":"","family":"Bailey","given":"Regan L","non-dropping-particle":"","parse-names":false,"suffix":""},{"dropping-particle":"","family":"Dwyer","given":"Johanna","non-dropping-particle":"","parse-names":false,"suffix":""}],"container-title":"The Journal of nutrition","id":"ITEM-1","issue":"10","issued":{"date-parts":[["2011"]]},"page":"1847-1854","publisher":"Oxford University Press","title":"Foods, fortificants, and supplements: where do Americans get their nutrients?","type":"article-journal","volume":"141"},"uris":["http://www.mendeley.com/documents/?uuid=872e64f7-99cf-4356-b557-8cfa04d0bd99"]}],"mendeley":{"formattedCitation":"(Fulgoni III &lt;i&gt;et al.&lt;/i&gt;, 2011)","plainTextFormattedCitation":"(Fulgoni III et al., 2011)","previouslyFormattedCitation":"(Fulgoni III &lt;i&gt;et al.&lt;/i&gt;, 2011)"},"properties":{"noteIndex":0},"schema":"https://github.com/citation-style-language/schema/raw/master/csl-citation.json"}</w:instrText>
      </w:r>
      <w:r w:rsidR="002B323B">
        <w:rPr>
          <w:rFonts w:cs="Times New Roman"/>
          <w:szCs w:val="24"/>
        </w:rPr>
        <w:fldChar w:fldCharType="separate"/>
      </w:r>
      <w:r w:rsidR="002B323B" w:rsidRPr="002B323B">
        <w:rPr>
          <w:rFonts w:cs="Times New Roman"/>
          <w:noProof/>
          <w:szCs w:val="24"/>
        </w:rPr>
        <w:t xml:space="preserve">(Fulgoni III </w:t>
      </w:r>
      <w:r w:rsidR="002B323B" w:rsidRPr="002B323B">
        <w:rPr>
          <w:rFonts w:cs="Times New Roman"/>
          <w:i/>
          <w:noProof/>
          <w:szCs w:val="24"/>
        </w:rPr>
        <w:t>et al.</w:t>
      </w:r>
      <w:r w:rsidR="002B323B" w:rsidRPr="002B323B">
        <w:rPr>
          <w:rFonts w:cs="Times New Roman"/>
          <w:noProof/>
          <w:szCs w:val="24"/>
        </w:rPr>
        <w:t>, 2011)</w:t>
      </w:r>
      <w:r w:rsidR="002B323B">
        <w:rPr>
          <w:rFonts w:cs="Times New Roman"/>
          <w:szCs w:val="24"/>
        </w:rPr>
        <w:fldChar w:fldCharType="end"/>
      </w:r>
      <w:r w:rsidR="002B323B">
        <w:rPr>
          <w:rFonts w:cs="Times New Roman"/>
          <w:szCs w:val="24"/>
        </w:rPr>
        <w:t xml:space="preserve">. </w:t>
      </w:r>
      <w:r w:rsidR="002C4256">
        <w:rPr>
          <w:rFonts w:cs="Times New Roman"/>
          <w:szCs w:val="24"/>
        </w:rPr>
        <w:t>A s</w:t>
      </w:r>
      <w:r w:rsidR="002B323B">
        <w:rPr>
          <w:rFonts w:cs="Times New Roman"/>
          <w:szCs w:val="24"/>
        </w:rPr>
        <w:t>imilar conclusion had been reached by studies on European children as well</w:t>
      </w:r>
      <w:r w:rsidR="002B323B">
        <w:rPr>
          <w:rFonts w:cs="Times New Roman"/>
          <w:szCs w:val="24"/>
        </w:rPr>
        <w:fldChar w:fldCharType="begin" w:fldLock="1"/>
      </w:r>
      <w:r w:rsidR="00E35EF3">
        <w:rPr>
          <w:rFonts w:cs="Times New Roman"/>
          <w:szCs w:val="24"/>
        </w:rPr>
        <w:instrText>ADDIN CSL_CITATION {"citationItems":[{"id":"ITEM-1","itemData":{"ISSN":"1654-661X","author":[{"dropping-particle":"","family":"Flynn","given":"Albert","non-dropping-particle":"","parse-names":false,"suffix":""},{"dropping-particle":"","family":"Hirvonen","given":"Tero","non-dropping-particle":"","parse-names":false,"suffix":""},{"dropping-particle":"","family":"Mensink","given":"Gert B M","non-dropping-particle":"","parse-names":false,"suffix":""},{"dropping-particle":"","family":"Ocké","given":"Marga C","non-dropping-particle":"","parse-names":false,"suffix":""},{"dropping-particle":"","family":"Serra-Majem","given":"Lluis","non-dropping-particle":"","parse-names":false,"suffix":""},{"dropping-particle":"","family":"Stos","given":"Katarzyna","non-dropping-particle":"","parse-names":false,"suffix":""},{"dropping-particle":"","family":"Szponar","given":"Lucjan","non-dropping-particle":"","parse-names":false,"suffix":""},{"dropping-particle":"","family":"Tetens","given":"Inge","non-dropping-particle":"","parse-names":false,"suffix":""},{"dropping-particle":"","family":"Turrini","given":"Aida","non-dropping-particle":"","parse-names":false,"suffix":""},{"dropping-particle":"","family":"Fletcher","given":"Reg","non-dropping-particle":"","parse-names":false,"suffix":""}],"container-title":"Food &amp; Nutrition Research","id":"ITEM-1","issue":"1","issued":{"date-parts":[["2009"]]},"page":"2038","publisher":"Taylor &amp; Francis","title":"Intake of selected nutrients from foods, from fortification and from supplements in various European countries","type":"article-journal","volume":"53"},"uris":["http://www.mendeley.com/documents/?uuid=b05f7b78-d28f-4419-a02a-f50f19cad4a5"]}],"mendeley":{"formattedCitation":"(Flynn &lt;i&gt;et al.&lt;/i&gt;, 2009)","manualFormatting":" ","plainTextFormattedCitation":"(Flynn et al., 2009)","previouslyFormattedCitation":"(Flynn &lt;i&gt;et al.&lt;/i&gt;, 2009)"},"properties":{"noteIndex":0},"schema":"https://github.com/citation-style-language/schema/raw/master/csl-citation.json"}</w:instrText>
      </w:r>
      <w:r w:rsidR="002B323B">
        <w:rPr>
          <w:rFonts w:cs="Times New Roman"/>
          <w:szCs w:val="24"/>
        </w:rPr>
        <w:fldChar w:fldCharType="separate"/>
      </w:r>
      <w:r w:rsidR="0017725D" w:rsidRPr="008A12F1" w:rsidDel="0017725D">
        <w:rPr>
          <w:rFonts w:cs="Times New Roman"/>
          <w:noProof/>
          <w:szCs w:val="24"/>
        </w:rPr>
        <w:t xml:space="preserve"> </w:t>
      </w:r>
      <w:r w:rsidR="002B323B">
        <w:rPr>
          <w:rFonts w:cs="Times New Roman"/>
          <w:szCs w:val="24"/>
        </w:rPr>
        <w:fldChar w:fldCharType="end"/>
      </w:r>
      <w:r w:rsidR="002B323B">
        <w:rPr>
          <w:rFonts w:cs="Times New Roman"/>
          <w:szCs w:val="24"/>
        </w:rPr>
        <w:fldChar w:fldCharType="begin" w:fldLock="1"/>
      </w:r>
      <w:r w:rsidR="002B323B">
        <w:rPr>
          <w:rFonts w:cs="Times New Roman"/>
          <w:szCs w:val="24"/>
        </w:rPr>
        <w:instrText>ADDIN CSL_CITATION {"citationItems":[{"id":"ITEM-1","itemData":{"ISSN":"1654-661X","author":[{"dropping-particle":"","family":"Flynn","given":"Albert","non-dropping-particle":"","parse-names":false,"suffix":""},{"dropping-particle":"","family":"Hirvonen","given":"Tero","non-dropping-particle":"","parse-names":false,"suffix":""},{"dropping-particle":"","family":"Mensink","given":"Gert B M","non-dropping-particle":"","parse-names":false,"suffix":""},{"dropping-particle":"","family":"Ocké","given":"Marga C","non-dropping-particle":"","parse-names":false,"suffix":""},{"dropping-particle":"","family":"Serra-Majem","given":"Lluis","non-dropping-particle":"","parse-names":false,"suffix":""},{"dropping-particle":"","family":"Stos","given":"Katarzyna","non-dropping-particle":"","parse-names":false,"suffix":""},{"dropping-particle":"","family":"Szponar","given":"Lucjan","non-dropping-particle":"","parse-names":false,"suffix":""},{"dropping-particle":"","family":"Tetens","given":"Inge","non-dropping-particle":"","parse-names":false,"suffix":""},{"dropping-particle":"","family":"Turrini","given":"Aida","non-dropping-particle":"","parse-names":false,"suffix":""},{"dropping-particle":"","family":"Fletcher","given":"Reg","non-dropping-particle":"","parse-names":false,"suffix":""}],"container-title":"Food &amp; Nutrition Research","id":"ITEM-1","issue":"1","issued":{"date-parts":[["2009"]]},"page":"2038","publisher":"Taylor &amp; Francis","title":"Intake of selected nutrients from foods, from fortification and from supplements in various European countries","type":"article-journal","volume":"53"},"uris":["http://www.mendeley.com/documents/?uuid=b05f7b78-d28f-4419-a02a-f50f19cad4a5"]}],"mendeley":{"formattedCitation":"(Flynn &lt;i&gt;et al.&lt;/i&gt;, 2009)","plainTextFormattedCitation":"(Flynn et al., 2009)","previouslyFormattedCitation":"(Flynn &lt;i&gt;et al.&lt;/i&gt;, 2009)"},"properties":{"noteIndex":0},"schema":"https://github.com/citation-style-language/schema/raw/master/csl-citation.json"}</w:instrText>
      </w:r>
      <w:r w:rsidR="002B323B">
        <w:rPr>
          <w:rFonts w:cs="Times New Roman"/>
          <w:szCs w:val="24"/>
        </w:rPr>
        <w:fldChar w:fldCharType="separate"/>
      </w:r>
      <w:r w:rsidR="002B323B" w:rsidRPr="002B323B">
        <w:rPr>
          <w:rFonts w:cs="Times New Roman"/>
          <w:noProof/>
          <w:szCs w:val="24"/>
        </w:rPr>
        <w:t xml:space="preserve">(Flynn </w:t>
      </w:r>
      <w:r w:rsidR="002B323B" w:rsidRPr="002B323B">
        <w:rPr>
          <w:rFonts w:cs="Times New Roman"/>
          <w:i/>
          <w:noProof/>
          <w:szCs w:val="24"/>
        </w:rPr>
        <w:t>et al.</w:t>
      </w:r>
      <w:r w:rsidR="002B323B" w:rsidRPr="002B323B">
        <w:rPr>
          <w:rFonts w:cs="Times New Roman"/>
          <w:noProof/>
          <w:szCs w:val="24"/>
        </w:rPr>
        <w:t>, 2009)</w:t>
      </w:r>
      <w:r w:rsidR="002B323B">
        <w:rPr>
          <w:rFonts w:cs="Times New Roman"/>
          <w:szCs w:val="24"/>
        </w:rPr>
        <w:fldChar w:fldCharType="end"/>
      </w:r>
      <w:r w:rsidR="002B323B">
        <w:rPr>
          <w:rFonts w:cs="Times New Roman"/>
          <w:szCs w:val="24"/>
        </w:rPr>
        <w:t xml:space="preserve">. </w:t>
      </w:r>
      <w:r w:rsidR="00BB78EE" w:rsidRPr="00BB78EE">
        <w:rPr>
          <w:rFonts w:cs="Times New Roman"/>
          <w:szCs w:val="24"/>
        </w:rPr>
        <w:t>Given the limited number of clinical trials that have assessed the impact of excessive zinc from fortified foods on iron absorption in the human body, we assumed that the incidence of persistent IDA is 100% for individuals exposed to excessive zinc intake and IDA simultaneously. Besides, we also did not consider the potential opportunity cost derived from the work leaves of the sick children’s parents due to the lack of data. Therefore, these overlooked factors would result in an underestimation of the costs.</w:t>
      </w:r>
      <w:r w:rsidR="002B323B">
        <w:rPr>
          <w:rFonts w:cs="Times New Roman"/>
          <w:szCs w:val="24"/>
        </w:rPr>
        <w:t xml:space="preserve"> More dose-response and toxicity data are also expected in the future to assess the adverse impact of excessive zinc intake for a better evaluation of cost-effectiveness.</w:t>
      </w:r>
    </w:p>
    <w:p w14:paraId="3E88E34A" w14:textId="77777777" w:rsidR="00035381" w:rsidRDefault="00565304" w:rsidP="006B19E1">
      <w:pPr>
        <w:pStyle w:val="Subtitle"/>
        <w:ind w:firstLine="480"/>
      </w:pPr>
      <w:r>
        <w:t>Deterministic Sensitivity analysis</w:t>
      </w:r>
    </w:p>
    <w:p w14:paraId="3E88E34B" w14:textId="058F5CC2" w:rsidR="00035381" w:rsidRDefault="00565304">
      <w:pPr>
        <w:ind w:firstLineChars="100" w:firstLine="240"/>
        <w:rPr>
          <w:rFonts w:cs="Times New Roman"/>
          <w:szCs w:val="24"/>
        </w:rPr>
      </w:pPr>
      <w:r>
        <w:rPr>
          <w:rFonts w:cs="Times New Roman"/>
          <w:szCs w:val="24"/>
        </w:rPr>
        <w:t xml:space="preserve">We conducted one-way and probabilistic sensitivity </w:t>
      </w:r>
      <w:r w:rsidR="004B2696">
        <w:rPr>
          <w:rFonts w:cs="Times New Roman"/>
          <w:szCs w:val="24"/>
        </w:rPr>
        <w:t xml:space="preserve">analysis </w:t>
      </w:r>
      <w:r>
        <w:rPr>
          <w:rFonts w:cs="Times New Roman"/>
          <w:szCs w:val="24"/>
        </w:rPr>
        <w:t xml:space="preserve">to evaluate the robustness of the baseline results. As shown </w:t>
      </w:r>
      <w:r w:rsidR="00724A37">
        <w:rPr>
          <w:rFonts w:cs="Times New Roman"/>
          <w:szCs w:val="24"/>
        </w:rPr>
        <w:t xml:space="preserve">from </w:t>
      </w:r>
      <w:r>
        <w:rPr>
          <w:rFonts w:cs="Times New Roman"/>
          <w:szCs w:val="24"/>
        </w:rPr>
        <w:t xml:space="preserve">the tornado diagram in Figure 2, we applied a ±25% variation to all costs and appropriate ranges for other parameters as listed in Table 2. </w:t>
      </w:r>
      <w:r w:rsidR="004B2696">
        <w:rPr>
          <w:rFonts w:cs="Times New Roman"/>
          <w:szCs w:val="24"/>
        </w:rPr>
        <w:t xml:space="preserve">The </w:t>
      </w:r>
      <w:r>
        <w:rPr>
          <w:rFonts w:cs="Times New Roman"/>
          <w:szCs w:val="24"/>
        </w:rPr>
        <w:t xml:space="preserve">one-way sensitivity analysis showed that the </w:t>
      </w:r>
      <w:r w:rsidR="004B2696">
        <w:rPr>
          <w:rFonts w:cs="Times New Roman"/>
          <w:szCs w:val="24"/>
        </w:rPr>
        <w:t>RRs</w:t>
      </w:r>
      <w:r w:rsidR="00740FAF">
        <w:rPr>
          <w:rFonts w:cs="Times New Roman"/>
          <w:szCs w:val="24"/>
        </w:rPr>
        <w:t xml:space="preserve"> extracted from</w:t>
      </w:r>
      <w:r>
        <w:rPr>
          <w:rFonts w:cs="Times New Roman"/>
          <w:szCs w:val="24"/>
        </w:rPr>
        <w:t xml:space="preserve"> intervention</w:t>
      </w:r>
      <w:r w:rsidR="00740FAF">
        <w:rPr>
          <w:rFonts w:cs="Times New Roman"/>
          <w:szCs w:val="24"/>
        </w:rPr>
        <w:t>s’</w:t>
      </w:r>
      <w:r>
        <w:rPr>
          <w:rFonts w:cs="Times New Roman"/>
          <w:szCs w:val="24"/>
        </w:rPr>
        <w:t xml:space="preserve"> efficacy studies </w:t>
      </w:r>
      <w:r w:rsidR="004B2696">
        <w:rPr>
          <w:rFonts w:cs="Times New Roman"/>
          <w:szCs w:val="24"/>
        </w:rPr>
        <w:t xml:space="preserve">have </w:t>
      </w:r>
      <w:r>
        <w:rPr>
          <w:rFonts w:cs="Times New Roman"/>
          <w:szCs w:val="24"/>
        </w:rPr>
        <w:t>the highest impact</w:t>
      </w:r>
      <w:r w:rsidR="00740FAF">
        <w:rPr>
          <w:rFonts w:cs="Times New Roman"/>
          <w:szCs w:val="24"/>
        </w:rPr>
        <w:t>s</w:t>
      </w:r>
      <w:r>
        <w:rPr>
          <w:rFonts w:cs="Times New Roman"/>
          <w:szCs w:val="24"/>
        </w:rPr>
        <w:t xml:space="preserve"> on </w:t>
      </w:r>
      <w:r w:rsidR="004B2696">
        <w:rPr>
          <w:rFonts w:cs="Times New Roman"/>
          <w:szCs w:val="24"/>
        </w:rPr>
        <w:t xml:space="preserve">the </w:t>
      </w:r>
      <w:r>
        <w:rPr>
          <w:rFonts w:cs="Times New Roman"/>
          <w:szCs w:val="24"/>
        </w:rPr>
        <w:t>final cost-effectiveness</w:t>
      </w:r>
      <w:r w:rsidR="004001EE">
        <w:rPr>
          <w:rFonts w:cs="Times New Roman"/>
          <w:szCs w:val="24"/>
        </w:rPr>
        <w:t>, follow</w:t>
      </w:r>
      <w:r w:rsidR="004B2696">
        <w:rPr>
          <w:rFonts w:cs="Times New Roman"/>
          <w:szCs w:val="24"/>
        </w:rPr>
        <w:t>ed</w:t>
      </w:r>
      <w:r w:rsidR="004001EE">
        <w:rPr>
          <w:rFonts w:cs="Times New Roman"/>
          <w:szCs w:val="24"/>
        </w:rPr>
        <w:t xml:space="preserve"> by the utility weights of pneumonia</w:t>
      </w:r>
      <w:r>
        <w:rPr>
          <w:rFonts w:cs="Times New Roman"/>
          <w:szCs w:val="24"/>
        </w:rPr>
        <w:t>. In contrast, the coverage rate of the intervention, death rate of pneumonia and anemia</w:t>
      </w:r>
      <w:r w:rsidR="00D61840">
        <w:rPr>
          <w:rFonts w:cs="Times New Roman"/>
          <w:szCs w:val="24"/>
        </w:rPr>
        <w:t xml:space="preserve">, and QALY weights </w:t>
      </w:r>
      <w:r>
        <w:rPr>
          <w:rFonts w:cs="Times New Roman"/>
          <w:szCs w:val="24"/>
        </w:rPr>
        <w:t>had the lowest impacts.</w:t>
      </w:r>
    </w:p>
    <w:p w14:paraId="31A35B64" w14:textId="77777777" w:rsidR="00792164" w:rsidRDefault="00792164">
      <w:pPr>
        <w:ind w:firstLineChars="100" w:firstLine="240"/>
        <w:rPr>
          <w:rFonts w:cs="Times New Roman"/>
          <w:szCs w:val="24"/>
        </w:rPr>
      </w:pPr>
    </w:p>
    <w:p w14:paraId="69479C39" w14:textId="67EA752F" w:rsidR="00EA70CC" w:rsidRPr="00EA70CC" w:rsidRDefault="00792164" w:rsidP="00792164">
      <w:pPr>
        <w:ind w:firstLineChars="0" w:firstLine="0"/>
        <w:jc w:val="left"/>
        <w:rPr>
          <w:rFonts w:cs="Times New Roman"/>
          <w:b/>
          <w:bCs/>
          <w:szCs w:val="24"/>
        </w:rPr>
      </w:pPr>
      <w:r>
        <w:rPr>
          <w:noProof/>
        </w:rPr>
        <w:drawing>
          <wp:inline distT="0" distB="0" distL="0" distR="0" wp14:anchorId="289E7C18" wp14:editId="0F0025D6">
            <wp:extent cx="5274310" cy="2966720"/>
            <wp:effectExtent l="0" t="0" r="2540" b="5080"/>
            <wp:docPr id="18248430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43066" name=""/>
                    <pic:cNvPicPr/>
                  </pic:nvPicPr>
                  <pic:blipFill>
                    <a:blip r:embed="rId11"/>
                    <a:stretch>
                      <a:fillRect/>
                    </a:stretch>
                  </pic:blipFill>
                  <pic:spPr>
                    <a:xfrm>
                      <a:off x="0" y="0"/>
                      <a:ext cx="5274310" cy="2966720"/>
                    </a:xfrm>
                    <a:prstGeom prst="rect">
                      <a:avLst/>
                    </a:prstGeom>
                  </pic:spPr>
                </pic:pic>
              </a:graphicData>
            </a:graphic>
          </wp:inline>
        </w:drawing>
      </w:r>
    </w:p>
    <w:p w14:paraId="3E88E34C" w14:textId="04549161" w:rsidR="00035381" w:rsidRPr="00963381" w:rsidRDefault="00565304" w:rsidP="00E97FAF">
      <w:pPr>
        <w:ind w:firstLineChars="0" w:firstLine="0"/>
        <w:rPr>
          <w:rFonts w:cs="Times New Roman"/>
          <w:b/>
          <w:bCs/>
          <w:szCs w:val="24"/>
        </w:rPr>
      </w:pPr>
      <w:bookmarkStart w:id="18" w:name="_Hlk141467879"/>
      <w:r w:rsidRPr="00B16C26">
        <w:rPr>
          <w:rFonts w:cs="Times New Roman"/>
          <w:b/>
          <w:bCs/>
          <w:szCs w:val="24"/>
        </w:rPr>
        <w:t xml:space="preserve">Figure 2. </w:t>
      </w:r>
      <w:bookmarkStart w:id="19" w:name="_Hlk144047317"/>
      <w:r w:rsidRPr="00B16C26">
        <w:rPr>
          <w:rFonts w:cs="Times New Roman"/>
          <w:b/>
          <w:bCs/>
          <w:szCs w:val="24"/>
        </w:rPr>
        <w:t>Tornado</w:t>
      </w:r>
      <w:r w:rsidRPr="00963381">
        <w:rPr>
          <w:rFonts w:cs="Times New Roman"/>
          <w:b/>
          <w:bCs/>
          <w:szCs w:val="24"/>
        </w:rPr>
        <w:t xml:space="preserve"> diagram of one-way sensitivity analysis.</w:t>
      </w:r>
      <w:r w:rsidR="007A111B">
        <w:rPr>
          <w:rFonts w:cs="Times New Roman"/>
          <w:b/>
          <w:bCs/>
          <w:szCs w:val="24"/>
        </w:rPr>
        <w:t xml:space="preserve"> </w:t>
      </w:r>
      <w:r w:rsidR="00511BB5" w:rsidRPr="00511BB5">
        <w:rPr>
          <w:rFonts w:cs="Times New Roman"/>
          <w:b/>
          <w:bCs/>
          <w:szCs w:val="24"/>
        </w:rPr>
        <w:t xml:space="preserve">The outcomes of a one-way sensitivity analysis, aiming to identify influential model variables, were presented in a tornado diagram. This diagram depicts the factors in descending </w:t>
      </w:r>
      <w:r w:rsidR="00511BB5" w:rsidRPr="00511BB5">
        <w:rPr>
          <w:rFonts w:cs="Times New Roman"/>
          <w:b/>
          <w:bCs/>
          <w:szCs w:val="24"/>
        </w:rPr>
        <w:lastRenderedPageBreak/>
        <w:t xml:space="preserve">order of their variation in value, showcasing their respective impacts on the </w:t>
      </w:r>
      <w:r w:rsidR="00511BB5">
        <w:rPr>
          <w:rFonts w:cs="Times New Roman"/>
          <w:b/>
          <w:bCs/>
          <w:szCs w:val="24"/>
        </w:rPr>
        <w:t>final ICER</w:t>
      </w:r>
      <w:r w:rsidR="00511BB5" w:rsidRPr="00511BB5">
        <w:rPr>
          <w:rFonts w:cs="Times New Roman"/>
          <w:b/>
          <w:bCs/>
          <w:szCs w:val="24"/>
        </w:rPr>
        <w:t xml:space="preserve"> results.</w:t>
      </w:r>
      <w:bookmarkEnd w:id="19"/>
    </w:p>
    <w:bookmarkEnd w:id="18"/>
    <w:p w14:paraId="3E88E34D" w14:textId="3B9137BD" w:rsidR="00035381" w:rsidRDefault="00035381">
      <w:pPr>
        <w:ind w:firstLine="480"/>
        <w:jc w:val="left"/>
        <w:rPr>
          <w:rFonts w:cs="Times New Roman"/>
          <w:szCs w:val="24"/>
        </w:rPr>
      </w:pPr>
    </w:p>
    <w:p w14:paraId="3E88E34E" w14:textId="3DE7EBEB" w:rsidR="00035381" w:rsidRDefault="009113E9">
      <w:pPr>
        <w:ind w:firstLineChars="100" w:firstLine="240"/>
        <w:rPr>
          <w:rFonts w:cs="Times New Roman"/>
          <w:szCs w:val="24"/>
        </w:rPr>
      </w:pPr>
      <w:r w:rsidRPr="009113E9">
        <w:rPr>
          <w:rFonts w:cs="Times New Roman"/>
          <w:szCs w:val="24"/>
        </w:rPr>
        <w:t>Table 3 provides the findings of the sensitivity analysis under different scenarios. With the inclusion of customers' perceptions, the ICER result varied considerably, which is consistent with previous research</w:t>
      </w:r>
      <w:r>
        <w:rPr>
          <w:rFonts w:cs="Times New Roman"/>
          <w:szCs w:val="24"/>
        </w:rPr>
        <w:t xml:space="preserve"> </w:t>
      </w:r>
      <w:r w:rsidR="00565304">
        <w:rPr>
          <w:rFonts w:cs="Times New Roman"/>
          <w:szCs w:val="24"/>
        </w:rPr>
        <w:t>(</w:t>
      </w:r>
      <w:proofErr w:type="spellStart"/>
      <w:r w:rsidR="00565304">
        <w:rPr>
          <w:rFonts w:cs="Times New Roman"/>
          <w:szCs w:val="24"/>
        </w:rPr>
        <w:t>Rabo</w:t>
      </w:r>
      <w:r w:rsidR="0094296D">
        <w:rPr>
          <w:rFonts w:cs="Times New Roman"/>
          <w:szCs w:val="24"/>
        </w:rPr>
        <w:t>v</w:t>
      </w:r>
      <w:r w:rsidR="00565304">
        <w:rPr>
          <w:rFonts w:cs="Times New Roman"/>
          <w:szCs w:val="24"/>
        </w:rPr>
        <w:t>skaja</w:t>
      </w:r>
      <w:proofErr w:type="spellEnd"/>
      <w:r w:rsidR="00565304">
        <w:rPr>
          <w:rFonts w:cs="Times New Roman"/>
          <w:szCs w:val="24"/>
        </w:rPr>
        <w:t xml:space="preserve"> et al., 2013). </w:t>
      </w:r>
      <w:r w:rsidRPr="009113E9">
        <w:rPr>
          <w:rFonts w:cs="Times New Roman"/>
          <w:szCs w:val="24"/>
        </w:rPr>
        <w:t xml:space="preserve">This suggests that consumers perceptions can significantly affect economic evaluation outcomes. Assuming the WTP for one QALY gained is 80976 CNY (11943 USD), i.e., </w:t>
      </w:r>
      <w:r w:rsidR="00307E2F" w:rsidRPr="00307E2F">
        <w:rPr>
          <w:rFonts w:cs="Times New Roman"/>
          <w:szCs w:val="24"/>
        </w:rPr>
        <w:t>the per capita GDP of China in 2021, biofortification based on transgenic breeding techniques is still cost-effective when consumers’ willingness to pay for GM food is lower than 34% than conventional alternative</w:t>
      </w:r>
      <w:r w:rsidRPr="009113E9">
        <w:rPr>
          <w:rFonts w:cs="Times New Roman"/>
          <w:szCs w:val="24"/>
        </w:rPr>
        <w:t>. However, if consumers discount GM wheat flour by 40%, which is the lowest level of the consumer discount for GM crops estimated by</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{"citationItems":[{"id":"ITEM-1","itemData":{"DOI":"10.1111/1477-9552.12264","ISSN":"14779552","abstract":"We investigate consumer demand for genetically modified (GM) rice in urban China, using a relatively large survey of urban consumers in 2013 and the contingent valuation method. Our results show that respondents discount their WTP for first, second and third generation of GM rice by 31%, 34% and 36%, respectively, compared with non-GM rice, indicating substantial aversion to GM rice by Chinese consumers. The level of consumers’ subjective knowledge of GM rice has a significantly negative impact on their WTP for GM rice, implying that GM rice in China has become a ‘special food’ with an unreliable image.","author":[{"dropping-particle":"","family":"Zheng","given":"Zhihao","non-dropping-particle":"","parse-names":false,"suffix":""},{"dropping-particle":"","family":"Henneberry","given":"Shida R.","non-dropping-particle":"","parse-names":false,"suffix":""},{"dropping-particle":"","family":"Sun","given":"Chuanzhong","non-dropping-particle":"","parse-names":false,"suffix":""},{"dropping-particle":"","family":"Nayga","given":"Rodolfo M.","non-dropping-particle":"","parse-names":false,"suffix":""}],"container-title":"Journal of Agricultural Economics","id":"ITEM-1","issue":"3","issued":{"date-parts":[["2018"]]},"page":"705-725","title":"Consumer Demand for Genetically Modified Rice in Urban China","type":"article-journal","volume":"69"},"uris":["http://www.mendeley.com/documents/?uuid=66dd8933-3f04-49dd-ac9d-567c5e1ff008"]}],"mendeley":{"formattedCitation":"(Zheng &lt;i&gt;et al.&lt;/i&gt;, 2018)","manualFormatting":"Zheng et al. (2018)","plainTextFormattedCitation":"(Zheng et al., 2018)","previouslyFormattedCitation":"(Zheng &lt;i&gt;et al.&lt;/i&gt;, 2018)"},"properties":{"noteIndex":0},"schema":"https://github.com/citation-style-language/schema/raw/master/csl-citation.json"}</w:instrText>
      </w:r>
      <w:r>
        <w:rPr>
          <w:rFonts w:cs="Times New Roman"/>
          <w:szCs w:val="24"/>
        </w:rPr>
        <w:fldChar w:fldCharType="separate"/>
      </w:r>
      <w:r w:rsidRPr="00E84864">
        <w:rPr>
          <w:rFonts w:cs="Times New Roman"/>
          <w:noProof/>
          <w:szCs w:val="24"/>
        </w:rPr>
        <w:t xml:space="preserve">Zheng </w:t>
      </w:r>
      <w:r w:rsidRPr="00383665">
        <w:rPr>
          <w:rFonts w:cs="Times New Roman"/>
          <w:noProof/>
          <w:szCs w:val="24"/>
        </w:rPr>
        <w:t>et al.</w:t>
      </w:r>
      <w:r w:rsidRPr="00E84864">
        <w:rPr>
          <w:rFonts w:cs="Times New Roman"/>
          <w:noProof/>
          <w:szCs w:val="24"/>
        </w:rPr>
        <w:t xml:space="preserve"> </w:t>
      </w:r>
      <w:r>
        <w:rPr>
          <w:rFonts w:cs="Times New Roman"/>
          <w:noProof/>
          <w:szCs w:val="24"/>
        </w:rPr>
        <w:t>(</w:t>
      </w:r>
      <w:r w:rsidRPr="00E84864">
        <w:rPr>
          <w:rFonts w:cs="Times New Roman"/>
          <w:noProof/>
          <w:szCs w:val="24"/>
        </w:rPr>
        <w:t>2018)</w:t>
      </w:r>
      <w:r>
        <w:rPr>
          <w:rFonts w:cs="Times New Roman"/>
          <w:szCs w:val="24"/>
        </w:rPr>
        <w:fldChar w:fldCharType="end"/>
      </w:r>
      <w:r w:rsidRPr="009113E9">
        <w:rPr>
          <w:rFonts w:cs="Times New Roman"/>
          <w:szCs w:val="24"/>
        </w:rPr>
        <w:t>, the ICER would exceed the threshold and not be cost-effective. The ICER results of other interventions (non-GM biofortification, fortification and supplementation) still indicate cost-effectiveness, as consumers generally hold a positive attitude towards these techniques. We suggested that the intangible costs of the program, such as societal impacts, should be considered in health intervention projects.</w:t>
      </w:r>
    </w:p>
    <w:p w14:paraId="1BBF6E1C" w14:textId="05526A12" w:rsidR="00564B3D" w:rsidRDefault="005023A0" w:rsidP="00564B3D">
      <w:pPr>
        <w:ind w:firstLineChars="100" w:firstLine="240"/>
        <w:rPr>
          <w:rFonts w:cs="Times New Roman"/>
          <w:szCs w:val="24"/>
        </w:rPr>
      </w:pPr>
      <w:r>
        <w:rPr>
          <w:rFonts w:cs="Times New Roman"/>
          <w:szCs w:val="24"/>
        </w:rPr>
        <w:t xml:space="preserve">For policymakers to maximize the benefits of these novel techniques, they should take into account </w:t>
      </w:r>
      <w:r w:rsidR="00564B3D">
        <w:rPr>
          <w:rFonts w:cs="Times New Roman"/>
          <w:szCs w:val="24"/>
        </w:rPr>
        <w:t>public opinion</w:t>
      </w:r>
      <w:r w:rsidR="001F4345">
        <w:rPr>
          <w:rFonts w:cs="Times New Roman"/>
          <w:szCs w:val="24"/>
        </w:rPr>
        <w:t>s</w:t>
      </w:r>
      <w:r w:rsidR="00564B3D">
        <w:rPr>
          <w:rFonts w:cs="Times New Roman"/>
          <w:szCs w:val="24"/>
        </w:rPr>
        <w:t>, which drive compliance</w:t>
      </w:r>
      <w:r>
        <w:rPr>
          <w:rFonts w:cs="Times New Roman"/>
          <w:szCs w:val="24"/>
        </w:rPr>
        <w:t>, through timely communication of the scientific information to the consumers</w:t>
      </w:r>
      <w:r w:rsidR="00564B3D">
        <w:rPr>
          <w:rFonts w:cs="Times New Roman"/>
          <w:szCs w:val="24"/>
        </w:rPr>
        <w:t xml:space="preserve">. </w:t>
      </w:r>
      <w:r>
        <w:rPr>
          <w:rFonts w:cs="Times New Roman"/>
          <w:szCs w:val="24"/>
        </w:rPr>
        <w:t xml:space="preserve">As shown earlier, </w:t>
      </w:r>
      <w:r w:rsidR="00564B3D">
        <w:rPr>
          <w:rFonts w:cs="Times New Roman"/>
          <w:szCs w:val="24"/>
        </w:rPr>
        <w:t xml:space="preserve">consumer perceptions </w:t>
      </w:r>
      <w:r>
        <w:rPr>
          <w:rFonts w:cs="Times New Roman"/>
          <w:szCs w:val="24"/>
        </w:rPr>
        <w:t xml:space="preserve">can </w:t>
      </w:r>
      <w:r w:rsidR="00564B3D">
        <w:rPr>
          <w:rFonts w:cs="Times New Roman"/>
          <w:szCs w:val="24"/>
        </w:rPr>
        <w:t xml:space="preserve">change cost-effectiveness results to a great extent. </w:t>
      </w:r>
      <w:r w:rsidR="001B08B3">
        <w:rPr>
          <w:rFonts w:cs="Times New Roman"/>
          <w:szCs w:val="24"/>
        </w:rPr>
        <w:t>Additionally, i</w:t>
      </w:r>
      <w:r w:rsidR="00564B3D">
        <w:rPr>
          <w:rFonts w:cs="Times New Roman"/>
          <w:szCs w:val="24"/>
        </w:rPr>
        <w:t xml:space="preserve">f a large share of consumers does not positively evaluate transgenic techniques, it </w:t>
      </w:r>
      <w:r>
        <w:rPr>
          <w:rFonts w:cs="Times New Roman"/>
          <w:szCs w:val="24"/>
        </w:rPr>
        <w:t xml:space="preserve">will </w:t>
      </w:r>
      <w:r w:rsidR="00564B3D">
        <w:rPr>
          <w:rFonts w:cs="Times New Roman"/>
          <w:szCs w:val="24"/>
        </w:rPr>
        <w:t xml:space="preserve">be hard to achieve large-scale coverage. </w:t>
      </w:r>
    </w:p>
    <w:p w14:paraId="2C5B4D13" w14:textId="77777777" w:rsidR="00564B3D" w:rsidRPr="00E84864" w:rsidRDefault="00564B3D">
      <w:pPr>
        <w:ind w:firstLineChars="100" w:firstLine="240"/>
        <w:rPr>
          <w:rFonts w:cs="Times New Roman"/>
          <w:szCs w:val="24"/>
        </w:rPr>
      </w:pPr>
    </w:p>
    <w:p w14:paraId="0D64BFBE" w14:textId="4ED8685D" w:rsidR="00792164" w:rsidRPr="00792164" w:rsidRDefault="00565304" w:rsidP="00792164">
      <w:pPr>
        <w:ind w:firstLine="482"/>
        <w:jc w:val="center"/>
        <w:rPr>
          <w:rFonts w:eastAsiaTheme="minorEastAsia" w:cs="Times New Roman"/>
          <w:b/>
          <w:bCs/>
          <w:szCs w:val="24"/>
        </w:rPr>
      </w:pPr>
      <w:r w:rsidRPr="00B16C26">
        <w:rPr>
          <w:rFonts w:cs="Times New Roman"/>
          <w:b/>
          <w:bCs/>
          <w:szCs w:val="24"/>
        </w:rPr>
        <w:t xml:space="preserve">Table </w:t>
      </w:r>
      <w:r w:rsidR="00EA70CC">
        <w:rPr>
          <w:rFonts w:cs="Times New Roman"/>
          <w:b/>
          <w:bCs/>
          <w:szCs w:val="24"/>
        </w:rPr>
        <w:t>3</w:t>
      </w:r>
      <w:r w:rsidR="00D46F52" w:rsidRPr="00B16C26">
        <w:rPr>
          <w:rFonts w:cs="Times New Roman"/>
          <w:b/>
          <w:bCs/>
          <w:szCs w:val="24"/>
        </w:rPr>
        <w:t>.</w:t>
      </w:r>
      <w:r w:rsidRPr="00B16C26">
        <w:rPr>
          <w:rFonts w:cs="Times New Roman"/>
          <w:b/>
          <w:bCs/>
          <w:szCs w:val="24"/>
        </w:rPr>
        <w:t xml:space="preserve"> The re</w:t>
      </w:r>
      <w:r>
        <w:rPr>
          <w:rFonts w:cs="Times New Roman"/>
          <w:b/>
          <w:bCs/>
          <w:szCs w:val="24"/>
        </w:rPr>
        <w:t>sults of the scenario analysis</w:t>
      </w:r>
    </w:p>
    <w:tbl>
      <w:tblPr>
        <w:tblStyle w:val="TableGrid"/>
        <w:tblW w:w="8789" w:type="dxa"/>
        <w:tblInd w:w="-28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5"/>
        <w:gridCol w:w="1524"/>
        <w:gridCol w:w="1701"/>
        <w:gridCol w:w="1337"/>
        <w:gridCol w:w="1357"/>
        <w:gridCol w:w="1275"/>
      </w:tblGrid>
      <w:tr w:rsidR="00792164" w14:paraId="044ABFC7" w14:textId="77777777" w:rsidTr="009B7CB4">
        <w:tc>
          <w:tcPr>
            <w:tcW w:w="1595" w:type="dxa"/>
            <w:vMerge w:val="restart"/>
            <w:vAlign w:val="center"/>
          </w:tcPr>
          <w:p w14:paraId="6D1C9DCF" w14:textId="77777777" w:rsidR="00792164" w:rsidRDefault="00792164" w:rsidP="009B7CB4">
            <w:pPr>
              <w:ind w:firstLine="360"/>
              <w:jc w:val="center"/>
              <w:rPr>
                <w:rFonts w:cs="Times New Roman"/>
                <w:sz w:val="18"/>
                <w:szCs w:val="18"/>
              </w:rPr>
            </w:pPr>
            <w:r>
              <w:rPr>
                <w:rFonts w:cs="Times New Roman"/>
                <w:sz w:val="18"/>
                <w:szCs w:val="18"/>
              </w:rPr>
              <w:t>Scenario</w:t>
            </w:r>
          </w:p>
        </w:tc>
        <w:tc>
          <w:tcPr>
            <w:tcW w:w="5919" w:type="dxa"/>
            <w:gridSpan w:val="4"/>
            <w:tcBorders>
              <w:top w:val="single" w:sz="4" w:space="0" w:color="auto"/>
              <w:bottom w:val="single" w:sz="4" w:space="0" w:color="auto"/>
            </w:tcBorders>
          </w:tcPr>
          <w:p w14:paraId="7DDEFA78" w14:textId="77777777" w:rsidR="00792164" w:rsidRDefault="00792164" w:rsidP="009B7CB4">
            <w:pPr>
              <w:ind w:firstLine="360"/>
              <w:jc w:val="center"/>
              <w:rPr>
                <w:rFonts w:cs="Times New Roman"/>
                <w:sz w:val="18"/>
                <w:szCs w:val="18"/>
              </w:rPr>
            </w:pPr>
            <w:r>
              <w:rPr>
                <w:rFonts w:cs="Times New Roman"/>
                <w:sz w:val="18"/>
                <w:szCs w:val="18"/>
              </w:rPr>
              <w:t>ICER (</w:t>
            </w:r>
            <w:r>
              <w:rPr>
                <w:rFonts w:ascii="SimSun" w:eastAsia="SimSun" w:hAnsi="SimSun" w:cs="SimSun" w:hint="eastAsia"/>
                <w:sz w:val="18"/>
                <w:szCs w:val="18"/>
              </w:rPr>
              <w:t>△</w:t>
            </w:r>
            <w:r>
              <w:rPr>
                <w:rFonts w:cs="Times New Roman"/>
                <w:sz w:val="18"/>
                <w:szCs w:val="18"/>
              </w:rPr>
              <w:t>Cost/</w:t>
            </w:r>
            <w:r>
              <w:rPr>
                <w:rFonts w:ascii="SimSun" w:eastAsia="SimSun" w:hAnsi="SimSun" w:cs="SimSun" w:hint="eastAsia"/>
                <w:sz w:val="18"/>
                <w:szCs w:val="18"/>
              </w:rPr>
              <w:t>△</w:t>
            </w:r>
            <w:r>
              <w:rPr>
                <w:rFonts w:cs="Times New Roman"/>
                <w:sz w:val="18"/>
                <w:szCs w:val="18"/>
              </w:rPr>
              <w:t>QALY</w:t>
            </w:r>
            <w:r>
              <w:rPr>
                <w:rFonts w:cs="Times New Roman"/>
                <w:bCs/>
                <w:sz w:val="18"/>
                <w:szCs w:val="18"/>
                <w:vertAlign w:val="superscript"/>
              </w:rPr>
              <w:t>1</w:t>
            </w:r>
            <w:r>
              <w:rPr>
                <w:rFonts w:cs="Times New Roman"/>
                <w:bCs/>
                <w:sz w:val="18"/>
                <w:szCs w:val="18"/>
              </w:rPr>
              <w:t>)</w:t>
            </w:r>
          </w:p>
        </w:tc>
        <w:tc>
          <w:tcPr>
            <w:tcW w:w="1275" w:type="dxa"/>
            <w:tcBorders>
              <w:top w:val="single" w:sz="4" w:space="0" w:color="auto"/>
              <w:bottom w:val="single" w:sz="4" w:space="0" w:color="auto"/>
            </w:tcBorders>
          </w:tcPr>
          <w:p w14:paraId="6E3BB990" w14:textId="77777777" w:rsidR="00792164" w:rsidRDefault="00792164" w:rsidP="009B7CB4">
            <w:pPr>
              <w:ind w:firstLine="360"/>
              <w:jc w:val="center"/>
              <w:rPr>
                <w:rFonts w:cs="Times New Roman"/>
                <w:sz w:val="18"/>
                <w:szCs w:val="18"/>
              </w:rPr>
            </w:pPr>
          </w:p>
        </w:tc>
      </w:tr>
      <w:tr w:rsidR="00792164" w14:paraId="0B616164" w14:textId="77777777" w:rsidTr="009B7CB4">
        <w:tc>
          <w:tcPr>
            <w:tcW w:w="1595" w:type="dxa"/>
            <w:vMerge/>
            <w:tcBorders>
              <w:bottom w:val="single" w:sz="4" w:space="0" w:color="auto"/>
            </w:tcBorders>
          </w:tcPr>
          <w:p w14:paraId="42ABEF83" w14:textId="77777777" w:rsidR="00792164" w:rsidRDefault="00792164" w:rsidP="009B7CB4">
            <w:pPr>
              <w:ind w:firstLine="360"/>
              <w:jc w:val="center"/>
              <w:rPr>
                <w:rFonts w:cs="Times New Roman"/>
                <w:sz w:val="18"/>
                <w:szCs w:val="18"/>
              </w:rPr>
            </w:pPr>
          </w:p>
        </w:tc>
        <w:tc>
          <w:tcPr>
            <w:tcW w:w="1524" w:type="dxa"/>
            <w:tcBorders>
              <w:top w:val="single" w:sz="4" w:space="0" w:color="auto"/>
              <w:bottom w:val="single" w:sz="4" w:space="0" w:color="auto"/>
            </w:tcBorders>
            <w:vAlign w:val="center"/>
          </w:tcPr>
          <w:p w14:paraId="59105399" w14:textId="77777777" w:rsidR="00792164" w:rsidRDefault="00792164" w:rsidP="009B7CB4">
            <w:pPr>
              <w:ind w:firstLine="360"/>
              <w:jc w:val="center"/>
              <w:rPr>
                <w:rFonts w:cs="Times New Roman"/>
                <w:sz w:val="18"/>
                <w:szCs w:val="18"/>
              </w:rPr>
            </w:pPr>
            <w:r>
              <w:rPr>
                <w:rFonts w:cs="Times New Roman"/>
                <w:sz w:val="18"/>
                <w:szCs w:val="18"/>
              </w:rPr>
              <w:t>Supplementation</w:t>
            </w:r>
          </w:p>
        </w:tc>
        <w:tc>
          <w:tcPr>
            <w:tcW w:w="1701" w:type="dxa"/>
            <w:tcBorders>
              <w:top w:val="single" w:sz="4" w:space="0" w:color="auto"/>
              <w:bottom w:val="single" w:sz="4" w:space="0" w:color="auto"/>
            </w:tcBorders>
            <w:vAlign w:val="center"/>
          </w:tcPr>
          <w:p w14:paraId="6263FAB5" w14:textId="77777777" w:rsidR="00792164" w:rsidRDefault="00792164" w:rsidP="009B7CB4">
            <w:pPr>
              <w:ind w:firstLine="360"/>
              <w:jc w:val="center"/>
              <w:rPr>
                <w:rFonts w:cs="Times New Roman"/>
                <w:sz w:val="18"/>
                <w:szCs w:val="18"/>
              </w:rPr>
            </w:pPr>
            <w:r>
              <w:rPr>
                <w:rFonts w:cs="Times New Roman"/>
                <w:sz w:val="18"/>
                <w:szCs w:val="18"/>
              </w:rPr>
              <w:t>Fortification</w:t>
            </w:r>
          </w:p>
        </w:tc>
        <w:tc>
          <w:tcPr>
            <w:tcW w:w="1337" w:type="dxa"/>
            <w:tcBorders>
              <w:top w:val="single" w:sz="4" w:space="0" w:color="auto"/>
              <w:bottom w:val="single" w:sz="4" w:space="0" w:color="auto"/>
            </w:tcBorders>
            <w:vAlign w:val="center"/>
          </w:tcPr>
          <w:p w14:paraId="3095E1B3" w14:textId="77777777" w:rsidR="00792164" w:rsidRDefault="00792164" w:rsidP="009B7CB4">
            <w:pPr>
              <w:ind w:firstLine="360"/>
              <w:jc w:val="center"/>
              <w:rPr>
                <w:rFonts w:cs="Times New Roman"/>
                <w:sz w:val="18"/>
                <w:szCs w:val="18"/>
              </w:rPr>
            </w:pPr>
            <w:r>
              <w:rPr>
                <w:rFonts w:cs="Times New Roman"/>
                <w:sz w:val="18"/>
                <w:szCs w:val="18"/>
              </w:rPr>
              <w:t>Bio-breeding (GM)</w:t>
            </w:r>
          </w:p>
        </w:tc>
        <w:tc>
          <w:tcPr>
            <w:tcW w:w="1357" w:type="dxa"/>
            <w:tcBorders>
              <w:top w:val="single" w:sz="4" w:space="0" w:color="auto"/>
              <w:bottom w:val="single" w:sz="4" w:space="0" w:color="auto"/>
            </w:tcBorders>
            <w:vAlign w:val="center"/>
          </w:tcPr>
          <w:p w14:paraId="010051BE" w14:textId="77777777" w:rsidR="00792164" w:rsidRDefault="00792164" w:rsidP="009B7CB4">
            <w:pPr>
              <w:ind w:firstLine="360"/>
              <w:jc w:val="center"/>
              <w:rPr>
                <w:rFonts w:cs="Times New Roman"/>
                <w:sz w:val="18"/>
                <w:szCs w:val="18"/>
              </w:rPr>
            </w:pPr>
            <w:r>
              <w:rPr>
                <w:rFonts w:cs="Times New Roman"/>
                <w:sz w:val="18"/>
                <w:szCs w:val="18"/>
              </w:rPr>
              <w:t>Bio-breeding(non-GM)</w:t>
            </w:r>
          </w:p>
        </w:tc>
        <w:tc>
          <w:tcPr>
            <w:tcW w:w="1275" w:type="dxa"/>
            <w:tcBorders>
              <w:top w:val="single" w:sz="4" w:space="0" w:color="auto"/>
              <w:bottom w:val="single" w:sz="4" w:space="0" w:color="auto"/>
            </w:tcBorders>
            <w:vAlign w:val="center"/>
          </w:tcPr>
          <w:p w14:paraId="044CA4F8" w14:textId="77777777" w:rsidR="00792164" w:rsidRDefault="00792164" w:rsidP="009B7CB4">
            <w:pPr>
              <w:ind w:firstLine="360"/>
              <w:jc w:val="center"/>
              <w:rPr>
                <w:rFonts w:cs="Times New Roman"/>
                <w:sz w:val="18"/>
                <w:szCs w:val="18"/>
              </w:rPr>
            </w:pPr>
            <w:r>
              <w:rPr>
                <w:rFonts w:cs="Times New Roman"/>
                <w:sz w:val="18"/>
                <w:szCs w:val="18"/>
              </w:rPr>
              <w:t>Bio-agronomy</w:t>
            </w:r>
          </w:p>
        </w:tc>
      </w:tr>
      <w:tr w:rsidR="00792164" w14:paraId="48BBFEA5" w14:textId="77777777" w:rsidTr="009B7CB4">
        <w:tc>
          <w:tcPr>
            <w:tcW w:w="1595" w:type="dxa"/>
            <w:tcBorders>
              <w:top w:val="single" w:sz="4" w:space="0" w:color="auto"/>
              <w:bottom w:val="nil"/>
            </w:tcBorders>
            <w:vAlign w:val="center"/>
          </w:tcPr>
          <w:p w14:paraId="31E1E725" w14:textId="77777777" w:rsidR="00792164" w:rsidRDefault="00792164" w:rsidP="009B7CB4">
            <w:pPr>
              <w:ind w:firstLine="360"/>
              <w:jc w:val="left"/>
              <w:rPr>
                <w:rFonts w:cs="Times New Roman"/>
                <w:sz w:val="18"/>
                <w:szCs w:val="18"/>
              </w:rPr>
            </w:pPr>
            <w:r>
              <w:rPr>
                <w:rFonts w:cs="Times New Roman"/>
                <w:sz w:val="18"/>
                <w:szCs w:val="18"/>
              </w:rPr>
              <w:t>Base scenario</w:t>
            </w:r>
          </w:p>
        </w:tc>
        <w:tc>
          <w:tcPr>
            <w:tcW w:w="1524" w:type="dxa"/>
            <w:tcBorders>
              <w:top w:val="single" w:sz="4" w:space="0" w:color="auto"/>
              <w:bottom w:val="nil"/>
            </w:tcBorders>
          </w:tcPr>
          <w:p w14:paraId="426D3849" w14:textId="77777777" w:rsidR="00792164" w:rsidRDefault="00792164" w:rsidP="009B7CB4">
            <w:pPr>
              <w:ind w:firstLine="360"/>
              <w:jc w:val="center"/>
              <w:rPr>
                <w:rFonts w:cs="Times New Roman"/>
                <w:sz w:val="18"/>
                <w:szCs w:val="18"/>
              </w:rPr>
            </w:pPr>
            <w:r>
              <w:rPr>
                <w:rFonts w:cs="Times New Roman"/>
                <w:sz w:val="18"/>
                <w:szCs w:val="18"/>
              </w:rPr>
              <w:t>1312.13</w:t>
            </w:r>
          </w:p>
        </w:tc>
        <w:tc>
          <w:tcPr>
            <w:tcW w:w="1701" w:type="dxa"/>
            <w:tcBorders>
              <w:top w:val="single" w:sz="4" w:space="0" w:color="auto"/>
              <w:bottom w:val="nil"/>
            </w:tcBorders>
          </w:tcPr>
          <w:p w14:paraId="73151D43" w14:textId="77777777" w:rsidR="00792164" w:rsidRDefault="00792164" w:rsidP="009B7CB4">
            <w:pPr>
              <w:ind w:firstLine="360"/>
              <w:jc w:val="center"/>
              <w:rPr>
                <w:rFonts w:cs="Times New Roman"/>
                <w:sz w:val="18"/>
                <w:szCs w:val="18"/>
              </w:rPr>
            </w:pPr>
            <w:r>
              <w:rPr>
                <w:rFonts w:cs="Times New Roman"/>
                <w:sz w:val="18"/>
                <w:szCs w:val="18"/>
              </w:rPr>
              <w:t>-355.51</w:t>
            </w:r>
          </w:p>
        </w:tc>
        <w:tc>
          <w:tcPr>
            <w:tcW w:w="1337" w:type="dxa"/>
            <w:tcBorders>
              <w:top w:val="single" w:sz="4" w:space="0" w:color="auto"/>
              <w:bottom w:val="nil"/>
            </w:tcBorders>
          </w:tcPr>
          <w:p w14:paraId="0C107DE4" w14:textId="77777777" w:rsidR="00792164" w:rsidRDefault="00792164" w:rsidP="009B7CB4">
            <w:pPr>
              <w:ind w:firstLine="360"/>
              <w:jc w:val="center"/>
              <w:rPr>
                <w:rFonts w:cs="Times New Roman"/>
                <w:sz w:val="18"/>
                <w:szCs w:val="18"/>
              </w:rPr>
            </w:pPr>
            <w:r>
              <w:rPr>
                <w:rFonts w:cs="Times New Roman"/>
                <w:sz w:val="18"/>
                <w:szCs w:val="18"/>
              </w:rPr>
              <w:t>-410.24</w:t>
            </w:r>
          </w:p>
        </w:tc>
        <w:tc>
          <w:tcPr>
            <w:tcW w:w="1357" w:type="dxa"/>
            <w:tcBorders>
              <w:top w:val="single" w:sz="4" w:space="0" w:color="auto"/>
              <w:bottom w:val="nil"/>
            </w:tcBorders>
          </w:tcPr>
          <w:p w14:paraId="6FBA52B1" w14:textId="77777777" w:rsidR="00792164" w:rsidRPr="00D749A5" w:rsidRDefault="00792164" w:rsidP="009B7CB4">
            <w:pPr>
              <w:ind w:firstLine="360"/>
              <w:jc w:val="center"/>
              <w:rPr>
                <w:rFonts w:cs="Times New Roman"/>
                <w:sz w:val="18"/>
                <w:szCs w:val="18"/>
              </w:rPr>
            </w:pPr>
            <w:r>
              <w:rPr>
                <w:rFonts w:cs="Times New Roman"/>
                <w:sz w:val="18"/>
                <w:szCs w:val="18"/>
              </w:rPr>
              <w:t>-410.24</w:t>
            </w:r>
          </w:p>
        </w:tc>
        <w:tc>
          <w:tcPr>
            <w:tcW w:w="1275" w:type="dxa"/>
            <w:tcBorders>
              <w:top w:val="single" w:sz="4" w:space="0" w:color="auto"/>
              <w:bottom w:val="nil"/>
            </w:tcBorders>
          </w:tcPr>
          <w:p w14:paraId="5A033959" w14:textId="77777777" w:rsidR="00792164" w:rsidRDefault="00792164" w:rsidP="009B7CB4">
            <w:pPr>
              <w:ind w:firstLine="360"/>
              <w:jc w:val="center"/>
              <w:rPr>
                <w:rFonts w:cs="Times New Roman"/>
                <w:sz w:val="18"/>
                <w:szCs w:val="18"/>
              </w:rPr>
            </w:pPr>
            <w:r>
              <w:rPr>
                <w:rFonts w:cs="Times New Roman"/>
                <w:sz w:val="18"/>
                <w:szCs w:val="18"/>
              </w:rPr>
              <w:t>-200.87</w:t>
            </w:r>
          </w:p>
        </w:tc>
      </w:tr>
      <w:tr w:rsidR="00792164" w14:paraId="29D15F72" w14:textId="77777777" w:rsidTr="009B7CB4">
        <w:tc>
          <w:tcPr>
            <w:tcW w:w="1595" w:type="dxa"/>
            <w:tcBorders>
              <w:top w:val="nil"/>
            </w:tcBorders>
            <w:vAlign w:val="center"/>
          </w:tcPr>
          <w:p w14:paraId="6F24EEAF" w14:textId="77777777" w:rsidR="00792164" w:rsidRPr="00EA02E2" w:rsidRDefault="00792164" w:rsidP="009B7CB4">
            <w:pPr>
              <w:ind w:firstLine="360"/>
              <w:jc w:val="left"/>
              <w:rPr>
                <w:rFonts w:cs="Times New Roman"/>
                <w:sz w:val="18"/>
                <w:szCs w:val="18"/>
              </w:rPr>
            </w:pPr>
            <w:r w:rsidRPr="00EA02E2">
              <w:rPr>
                <w:rFonts w:cs="Times New Roman"/>
                <w:sz w:val="18"/>
                <w:szCs w:val="18"/>
              </w:rPr>
              <w:t>Discount rate, 0%</w:t>
            </w:r>
          </w:p>
        </w:tc>
        <w:tc>
          <w:tcPr>
            <w:tcW w:w="1524" w:type="dxa"/>
            <w:tcBorders>
              <w:top w:val="nil"/>
            </w:tcBorders>
            <w:vAlign w:val="center"/>
          </w:tcPr>
          <w:p w14:paraId="76E59B3E" w14:textId="77777777" w:rsidR="00792164" w:rsidRDefault="00792164" w:rsidP="009B7CB4">
            <w:pPr>
              <w:ind w:firstLine="360"/>
              <w:jc w:val="center"/>
              <w:rPr>
                <w:rFonts w:cs="Times New Roman"/>
                <w:sz w:val="18"/>
                <w:szCs w:val="18"/>
              </w:rPr>
            </w:pPr>
            <w:r w:rsidRPr="0004204D">
              <w:rPr>
                <w:rFonts w:cs="Times New Roman"/>
                <w:sz w:val="18"/>
                <w:szCs w:val="18"/>
              </w:rPr>
              <w:t>1041.64</w:t>
            </w:r>
          </w:p>
        </w:tc>
        <w:tc>
          <w:tcPr>
            <w:tcW w:w="1701" w:type="dxa"/>
            <w:tcBorders>
              <w:top w:val="nil"/>
            </w:tcBorders>
            <w:vAlign w:val="center"/>
          </w:tcPr>
          <w:p w14:paraId="61819A79" w14:textId="77777777" w:rsidR="00792164" w:rsidRDefault="00792164" w:rsidP="009B7CB4">
            <w:pPr>
              <w:ind w:firstLine="360"/>
              <w:jc w:val="center"/>
              <w:rPr>
                <w:rFonts w:cs="Times New Roman"/>
                <w:sz w:val="18"/>
                <w:szCs w:val="18"/>
              </w:rPr>
            </w:pPr>
            <w:r w:rsidRPr="0004204D">
              <w:rPr>
                <w:rFonts w:cs="Times New Roman"/>
                <w:sz w:val="18"/>
                <w:szCs w:val="18"/>
              </w:rPr>
              <w:t>-367.47</w:t>
            </w:r>
          </w:p>
        </w:tc>
        <w:tc>
          <w:tcPr>
            <w:tcW w:w="1337" w:type="dxa"/>
            <w:tcBorders>
              <w:top w:val="nil"/>
            </w:tcBorders>
            <w:vAlign w:val="center"/>
          </w:tcPr>
          <w:p w14:paraId="44100506" w14:textId="77777777" w:rsidR="00792164" w:rsidRPr="00D749A5" w:rsidRDefault="00792164" w:rsidP="009B7CB4">
            <w:pPr>
              <w:ind w:firstLine="360"/>
              <w:jc w:val="center"/>
              <w:rPr>
                <w:rFonts w:cs="Times New Roman"/>
                <w:sz w:val="18"/>
                <w:szCs w:val="18"/>
              </w:rPr>
            </w:pPr>
            <w:r w:rsidRPr="0004204D">
              <w:rPr>
                <w:rFonts w:cs="Times New Roman"/>
                <w:sz w:val="18"/>
                <w:szCs w:val="18"/>
              </w:rPr>
              <w:t>-41</w:t>
            </w:r>
            <w:r>
              <w:rPr>
                <w:rFonts w:cs="Times New Roman"/>
                <w:sz w:val="18"/>
                <w:szCs w:val="18"/>
              </w:rPr>
              <w:t>1.87</w:t>
            </w:r>
          </w:p>
        </w:tc>
        <w:tc>
          <w:tcPr>
            <w:tcW w:w="1357" w:type="dxa"/>
            <w:tcBorders>
              <w:top w:val="nil"/>
            </w:tcBorders>
            <w:vAlign w:val="center"/>
          </w:tcPr>
          <w:p w14:paraId="359D94B1" w14:textId="77777777" w:rsidR="00792164" w:rsidRPr="00D749A5" w:rsidRDefault="00792164" w:rsidP="009B7CB4">
            <w:pPr>
              <w:ind w:firstLine="360"/>
              <w:jc w:val="center"/>
              <w:rPr>
                <w:rFonts w:cs="Times New Roman"/>
                <w:sz w:val="18"/>
                <w:szCs w:val="18"/>
              </w:rPr>
            </w:pPr>
            <w:r w:rsidRPr="0004204D">
              <w:rPr>
                <w:rFonts w:cs="Times New Roman"/>
                <w:sz w:val="18"/>
                <w:szCs w:val="18"/>
              </w:rPr>
              <w:t>-41</w:t>
            </w:r>
            <w:r>
              <w:rPr>
                <w:rFonts w:cs="Times New Roman"/>
                <w:sz w:val="18"/>
                <w:szCs w:val="18"/>
              </w:rPr>
              <w:t>1.87</w:t>
            </w:r>
          </w:p>
        </w:tc>
        <w:tc>
          <w:tcPr>
            <w:tcW w:w="1275" w:type="dxa"/>
            <w:tcBorders>
              <w:top w:val="nil"/>
            </w:tcBorders>
            <w:vAlign w:val="center"/>
          </w:tcPr>
          <w:p w14:paraId="795E1826" w14:textId="77777777" w:rsidR="00792164" w:rsidRPr="0004204D" w:rsidRDefault="00792164" w:rsidP="009B7CB4">
            <w:pPr>
              <w:ind w:firstLine="360"/>
              <w:jc w:val="center"/>
              <w:rPr>
                <w:rFonts w:cs="Times New Roman"/>
                <w:sz w:val="18"/>
                <w:szCs w:val="18"/>
              </w:rPr>
            </w:pPr>
            <w:r w:rsidRPr="0004204D">
              <w:rPr>
                <w:rFonts w:cs="Times New Roman"/>
                <w:sz w:val="18"/>
                <w:szCs w:val="18"/>
              </w:rPr>
              <w:t>-234.67</w:t>
            </w:r>
          </w:p>
        </w:tc>
      </w:tr>
      <w:tr w:rsidR="00792164" w14:paraId="595BBFB8" w14:textId="77777777" w:rsidTr="009B7CB4">
        <w:tc>
          <w:tcPr>
            <w:tcW w:w="1595" w:type="dxa"/>
            <w:vAlign w:val="center"/>
          </w:tcPr>
          <w:p w14:paraId="604752C8" w14:textId="77777777" w:rsidR="00792164" w:rsidRPr="00EA02E2" w:rsidRDefault="00792164" w:rsidP="009B7CB4">
            <w:pPr>
              <w:ind w:firstLine="360"/>
              <w:jc w:val="left"/>
              <w:rPr>
                <w:rFonts w:cs="Times New Roman"/>
                <w:sz w:val="18"/>
                <w:szCs w:val="18"/>
              </w:rPr>
            </w:pPr>
            <w:r w:rsidRPr="00EA02E2">
              <w:rPr>
                <w:rFonts w:cs="Times New Roman"/>
                <w:sz w:val="18"/>
                <w:szCs w:val="18"/>
              </w:rPr>
              <w:t>Discount rate, 7%</w:t>
            </w:r>
          </w:p>
        </w:tc>
        <w:tc>
          <w:tcPr>
            <w:tcW w:w="1524" w:type="dxa"/>
            <w:vAlign w:val="center"/>
          </w:tcPr>
          <w:p w14:paraId="2B3FAF9B" w14:textId="77777777" w:rsidR="00792164" w:rsidRDefault="00792164" w:rsidP="009B7CB4">
            <w:pPr>
              <w:ind w:firstLine="360"/>
              <w:jc w:val="center"/>
              <w:rPr>
                <w:rFonts w:cs="Times New Roman"/>
                <w:sz w:val="18"/>
                <w:szCs w:val="18"/>
              </w:rPr>
            </w:pPr>
            <w:r w:rsidRPr="0004204D">
              <w:rPr>
                <w:rFonts w:cs="Times New Roman"/>
                <w:sz w:val="18"/>
                <w:szCs w:val="18"/>
              </w:rPr>
              <w:t>1605.07</w:t>
            </w:r>
          </w:p>
        </w:tc>
        <w:tc>
          <w:tcPr>
            <w:tcW w:w="1701" w:type="dxa"/>
            <w:vAlign w:val="center"/>
          </w:tcPr>
          <w:p w14:paraId="454084D5" w14:textId="77777777" w:rsidR="00792164" w:rsidRDefault="00792164" w:rsidP="009B7CB4">
            <w:pPr>
              <w:ind w:firstLine="360"/>
              <w:jc w:val="center"/>
              <w:rPr>
                <w:rFonts w:cs="Times New Roman"/>
                <w:sz w:val="18"/>
                <w:szCs w:val="18"/>
              </w:rPr>
            </w:pPr>
            <w:r w:rsidRPr="0004204D">
              <w:rPr>
                <w:rFonts w:cs="Times New Roman"/>
                <w:sz w:val="18"/>
                <w:szCs w:val="18"/>
              </w:rPr>
              <w:t>-342.53</w:t>
            </w:r>
          </w:p>
        </w:tc>
        <w:tc>
          <w:tcPr>
            <w:tcW w:w="1337" w:type="dxa"/>
            <w:vAlign w:val="center"/>
          </w:tcPr>
          <w:p w14:paraId="5734A9B5" w14:textId="77777777" w:rsidR="00792164" w:rsidRPr="00D749A5" w:rsidRDefault="00792164" w:rsidP="009B7CB4">
            <w:pPr>
              <w:ind w:firstLine="360"/>
              <w:jc w:val="center"/>
              <w:rPr>
                <w:rFonts w:cs="Times New Roman"/>
                <w:sz w:val="18"/>
                <w:szCs w:val="18"/>
              </w:rPr>
            </w:pPr>
            <w:r w:rsidRPr="0004204D">
              <w:rPr>
                <w:rFonts w:cs="Times New Roman"/>
                <w:sz w:val="18"/>
                <w:szCs w:val="18"/>
              </w:rPr>
              <w:t>-</w:t>
            </w:r>
            <w:r>
              <w:rPr>
                <w:rFonts w:cs="Times New Roman"/>
                <w:sz w:val="18"/>
                <w:szCs w:val="18"/>
              </w:rPr>
              <w:t>408.44</w:t>
            </w:r>
          </w:p>
        </w:tc>
        <w:tc>
          <w:tcPr>
            <w:tcW w:w="1357" w:type="dxa"/>
            <w:vAlign w:val="center"/>
          </w:tcPr>
          <w:p w14:paraId="1A5F65CA" w14:textId="77777777" w:rsidR="00792164" w:rsidRPr="00D749A5" w:rsidRDefault="00792164" w:rsidP="009B7CB4">
            <w:pPr>
              <w:ind w:firstLine="360"/>
              <w:jc w:val="center"/>
              <w:rPr>
                <w:rFonts w:cs="Times New Roman"/>
                <w:sz w:val="18"/>
                <w:szCs w:val="18"/>
              </w:rPr>
            </w:pPr>
            <w:r w:rsidRPr="0004204D">
              <w:rPr>
                <w:rFonts w:cs="Times New Roman"/>
                <w:sz w:val="18"/>
                <w:szCs w:val="18"/>
              </w:rPr>
              <w:t>-</w:t>
            </w:r>
            <w:r>
              <w:rPr>
                <w:rFonts w:cs="Times New Roman"/>
                <w:sz w:val="18"/>
                <w:szCs w:val="18"/>
              </w:rPr>
              <w:t>408.44</w:t>
            </w:r>
          </w:p>
        </w:tc>
        <w:tc>
          <w:tcPr>
            <w:tcW w:w="1275" w:type="dxa"/>
            <w:vAlign w:val="center"/>
          </w:tcPr>
          <w:p w14:paraId="58D0B279" w14:textId="77777777" w:rsidR="00792164" w:rsidRPr="0004204D" w:rsidRDefault="00792164" w:rsidP="009B7CB4">
            <w:pPr>
              <w:ind w:firstLine="360"/>
              <w:jc w:val="center"/>
              <w:rPr>
                <w:rFonts w:cs="Times New Roman"/>
                <w:sz w:val="18"/>
                <w:szCs w:val="18"/>
              </w:rPr>
            </w:pPr>
            <w:r w:rsidRPr="0004204D">
              <w:rPr>
                <w:rFonts w:cs="Times New Roman"/>
                <w:sz w:val="18"/>
                <w:szCs w:val="18"/>
              </w:rPr>
              <w:t>-164.20</w:t>
            </w:r>
          </w:p>
        </w:tc>
      </w:tr>
      <w:tr w:rsidR="00792164" w14:paraId="7BCE7288" w14:textId="77777777" w:rsidTr="009B7CB4">
        <w:tc>
          <w:tcPr>
            <w:tcW w:w="1595" w:type="dxa"/>
            <w:vAlign w:val="center"/>
          </w:tcPr>
          <w:p w14:paraId="2FD6E809" w14:textId="77777777" w:rsidR="00792164" w:rsidRDefault="00792164" w:rsidP="009B7CB4">
            <w:pPr>
              <w:ind w:firstLine="360"/>
              <w:jc w:val="left"/>
              <w:rPr>
                <w:rFonts w:cs="Times New Roman"/>
                <w:sz w:val="18"/>
                <w:szCs w:val="18"/>
              </w:rPr>
            </w:pPr>
            <w:r>
              <w:rPr>
                <w:rFonts w:cs="Times New Roman"/>
                <w:sz w:val="18"/>
                <w:szCs w:val="18"/>
              </w:rPr>
              <w:t>Consumers WTP (optimistic acceptance to GM, +40%)</w:t>
            </w:r>
          </w:p>
        </w:tc>
        <w:tc>
          <w:tcPr>
            <w:tcW w:w="1524" w:type="dxa"/>
            <w:vAlign w:val="center"/>
          </w:tcPr>
          <w:p w14:paraId="62907437" w14:textId="77777777" w:rsidR="00792164" w:rsidRDefault="00792164" w:rsidP="009B7CB4">
            <w:pPr>
              <w:ind w:firstLine="360"/>
              <w:jc w:val="center"/>
              <w:rPr>
                <w:rFonts w:cs="Times New Roman"/>
                <w:sz w:val="18"/>
                <w:szCs w:val="18"/>
              </w:rPr>
            </w:pPr>
            <w:r>
              <w:rPr>
                <w:rFonts w:cs="Times New Roman"/>
                <w:sz w:val="18"/>
                <w:szCs w:val="18"/>
              </w:rPr>
              <w:t>-325.86</w:t>
            </w:r>
          </w:p>
        </w:tc>
        <w:tc>
          <w:tcPr>
            <w:tcW w:w="1701" w:type="dxa"/>
            <w:vAlign w:val="center"/>
          </w:tcPr>
          <w:p w14:paraId="5AC73EBE" w14:textId="77777777" w:rsidR="00792164" w:rsidRDefault="00792164" w:rsidP="009B7CB4">
            <w:pPr>
              <w:ind w:firstLine="360"/>
              <w:jc w:val="center"/>
              <w:rPr>
                <w:rFonts w:cs="Times New Roman"/>
                <w:sz w:val="18"/>
                <w:szCs w:val="18"/>
              </w:rPr>
            </w:pPr>
            <w:r>
              <w:rPr>
                <w:rFonts w:cs="Times New Roman"/>
                <w:sz w:val="18"/>
                <w:szCs w:val="18"/>
              </w:rPr>
              <w:t>-1</w:t>
            </w:r>
            <w:r w:rsidRPr="00E96FD1">
              <w:rPr>
                <w:rFonts w:cs="Times New Roman"/>
                <w:sz w:val="18"/>
                <w:szCs w:val="18"/>
              </w:rPr>
              <w:t>986.44</w:t>
            </w:r>
          </w:p>
        </w:tc>
        <w:tc>
          <w:tcPr>
            <w:tcW w:w="1337" w:type="dxa"/>
            <w:vAlign w:val="center"/>
          </w:tcPr>
          <w:p w14:paraId="28BED3EB" w14:textId="77777777" w:rsidR="00792164" w:rsidRPr="002812B3" w:rsidRDefault="00792164" w:rsidP="009B7CB4">
            <w:pPr>
              <w:ind w:firstLine="360"/>
              <w:jc w:val="center"/>
              <w:rPr>
                <w:rFonts w:eastAsiaTheme="minorEastAsia" w:cs="Times New Roman"/>
                <w:sz w:val="18"/>
                <w:szCs w:val="18"/>
              </w:rPr>
            </w:pPr>
            <w:r w:rsidRPr="0004204D">
              <w:rPr>
                <w:rFonts w:cs="Times New Roman"/>
                <w:sz w:val="18"/>
                <w:szCs w:val="18"/>
              </w:rPr>
              <w:t>-14822.73</w:t>
            </w:r>
          </w:p>
        </w:tc>
        <w:tc>
          <w:tcPr>
            <w:tcW w:w="1357" w:type="dxa"/>
            <w:vAlign w:val="center"/>
          </w:tcPr>
          <w:p w14:paraId="3BD4B07E" w14:textId="77777777" w:rsidR="00792164" w:rsidRPr="00DD629C" w:rsidRDefault="00792164" w:rsidP="009B7CB4">
            <w:pPr>
              <w:ind w:firstLine="360"/>
              <w:jc w:val="center"/>
              <w:rPr>
                <w:rFonts w:eastAsiaTheme="minorEastAsia" w:cs="Times New Roman"/>
                <w:sz w:val="18"/>
                <w:szCs w:val="18"/>
              </w:rPr>
            </w:pPr>
            <w:r w:rsidRPr="000E003C">
              <w:rPr>
                <w:rFonts w:eastAsiaTheme="minorEastAsia" w:cs="Times New Roman"/>
                <w:sz w:val="18"/>
                <w:szCs w:val="18"/>
              </w:rPr>
              <w:t>-13560.81</w:t>
            </w:r>
          </w:p>
        </w:tc>
        <w:tc>
          <w:tcPr>
            <w:tcW w:w="1275" w:type="dxa"/>
            <w:vAlign w:val="center"/>
          </w:tcPr>
          <w:p w14:paraId="6983AE9B" w14:textId="77777777" w:rsidR="00792164" w:rsidRDefault="00792164" w:rsidP="009B7CB4">
            <w:pPr>
              <w:ind w:firstLine="360"/>
              <w:jc w:val="center"/>
              <w:rPr>
                <w:rFonts w:cs="Times New Roman"/>
                <w:sz w:val="18"/>
                <w:szCs w:val="18"/>
              </w:rPr>
            </w:pPr>
            <w:r w:rsidRPr="00385F7C">
              <w:rPr>
                <w:rFonts w:cs="Times New Roman"/>
                <w:sz w:val="18"/>
                <w:szCs w:val="18"/>
              </w:rPr>
              <w:t>-13351.4</w:t>
            </w:r>
          </w:p>
        </w:tc>
      </w:tr>
      <w:tr w:rsidR="00792164" w14:paraId="262B14CD" w14:textId="77777777" w:rsidTr="009B7CB4">
        <w:tc>
          <w:tcPr>
            <w:tcW w:w="1595" w:type="dxa"/>
            <w:vAlign w:val="center"/>
          </w:tcPr>
          <w:p w14:paraId="3A0CBFC5" w14:textId="77777777" w:rsidR="00792164" w:rsidRDefault="00792164" w:rsidP="009B7CB4">
            <w:pPr>
              <w:ind w:firstLine="360"/>
              <w:jc w:val="left"/>
              <w:rPr>
                <w:rFonts w:cs="Times New Roman"/>
                <w:sz w:val="18"/>
                <w:szCs w:val="18"/>
              </w:rPr>
            </w:pPr>
            <w:r>
              <w:rPr>
                <w:rFonts w:cs="Times New Roman"/>
                <w:sz w:val="18"/>
                <w:szCs w:val="18"/>
              </w:rPr>
              <w:t>Consumers WTP (pessimistic acceptance to GM, -40%)</w:t>
            </w:r>
          </w:p>
        </w:tc>
        <w:tc>
          <w:tcPr>
            <w:tcW w:w="1524" w:type="dxa"/>
            <w:vAlign w:val="center"/>
          </w:tcPr>
          <w:p w14:paraId="1625C5DB" w14:textId="77777777" w:rsidR="00792164" w:rsidRDefault="00792164" w:rsidP="009B7CB4">
            <w:pPr>
              <w:ind w:firstLine="360"/>
              <w:jc w:val="center"/>
              <w:rPr>
                <w:rFonts w:cs="Times New Roman"/>
                <w:sz w:val="18"/>
                <w:szCs w:val="18"/>
              </w:rPr>
            </w:pPr>
            <w:r>
              <w:rPr>
                <w:rFonts w:cs="Times New Roman"/>
                <w:sz w:val="18"/>
                <w:szCs w:val="18"/>
              </w:rPr>
              <w:t>-325.86</w:t>
            </w:r>
          </w:p>
        </w:tc>
        <w:tc>
          <w:tcPr>
            <w:tcW w:w="1701" w:type="dxa"/>
            <w:vAlign w:val="center"/>
          </w:tcPr>
          <w:p w14:paraId="42241B81" w14:textId="77777777" w:rsidR="00792164" w:rsidRDefault="00792164" w:rsidP="009B7CB4">
            <w:pPr>
              <w:ind w:firstLine="360"/>
              <w:jc w:val="center"/>
              <w:rPr>
                <w:rFonts w:cs="Times New Roman"/>
                <w:sz w:val="18"/>
                <w:szCs w:val="18"/>
              </w:rPr>
            </w:pPr>
            <w:r w:rsidRPr="00E96FD1">
              <w:rPr>
                <w:rFonts w:cs="Times New Roman"/>
                <w:sz w:val="18"/>
                <w:szCs w:val="18"/>
              </w:rPr>
              <w:t>-1986.44</w:t>
            </w:r>
          </w:p>
        </w:tc>
        <w:tc>
          <w:tcPr>
            <w:tcW w:w="1337" w:type="dxa"/>
            <w:vAlign w:val="center"/>
          </w:tcPr>
          <w:p w14:paraId="7E3FFF7F" w14:textId="77777777" w:rsidR="00792164" w:rsidRPr="0004204D" w:rsidRDefault="00792164" w:rsidP="009B7CB4">
            <w:pPr>
              <w:ind w:firstLine="360"/>
              <w:jc w:val="center"/>
              <w:rPr>
                <w:rFonts w:cs="Times New Roman"/>
                <w:sz w:val="18"/>
                <w:szCs w:val="18"/>
              </w:rPr>
            </w:pPr>
            <w:r w:rsidRPr="002812B3">
              <w:rPr>
                <w:rFonts w:cs="Times New Roman"/>
                <w:sz w:val="18"/>
                <w:szCs w:val="18"/>
              </w:rPr>
              <w:t>13990.69</w:t>
            </w:r>
          </w:p>
        </w:tc>
        <w:tc>
          <w:tcPr>
            <w:tcW w:w="1357" w:type="dxa"/>
            <w:vAlign w:val="center"/>
          </w:tcPr>
          <w:p w14:paraId="7839B0F5" w14:textId="77777777" w:rsidR="00792164" w:rsidRPr="00DD629C" w:rsidRDefault="00792164" w:rsidP="009B7CB4">
            <w:pPr>
              <w:ind w:firstLine="360"/>
              <w:jc w:val="center"/>
              <w:rPr>
                <w:rFonts w:eastAsiaTheme="minorEastAsia" w:cs="Times New Roman"/>
                <w:sz w:val="18"/>
                <w:szCs w:val="18"/>
              </w:rPr>
            </w:pPr>
            <w:r w:rsidRPr="000E003C">
              <w:rPr>
                <w:rFonts w:eastAsiaTheme="minorEastAsia" w:cs="Times New Roman"/>
                <w:sz w:val="18"/>
                <w:szCs w:val="18"/>
              </w:rPr>
              <w:t>-13560.81</w:t>
            </w:r>
          </w:p>
        </w:tc>
        <w:tc>
          <w:tcPr>
            <w:tcW w:w="1275" w:type="dxa"/>
            <w:vAlign w:val="center"/>
          </w:tcPr>
          <w:p w14:paraId="584690BA" w14:textId="77777777" w:rsidR="00792164" w:rsidRDefault="00792164" w:rsidP="009B7CB4">
            <w:pPr>
              <w:ind w:firstLine="360"/>
              <w:jc w:val="center"/>
              <w:rPr>
                <w:rFonts w:cs="Times New Roman"/>
                <w:sz w:val="18"/>
                <w:szCs w:val="18"/>
              </w:rPr>
            </w:pPr>
            <w:r>
              <w:rPr>
                <w:rFonts w:cs="Times New Roman"/>
                <w:sz w:val="18"/>
                <w:szCs w:val="18"/>
              </w:rPr>
              <w:t>-13351.4</w:t>
            </w:r>
          </w:p>
        </w:tc>
      </w:tr>
    </w:tbl>
    <w:p w14:paraId="5DC9BF28" w14:textId="77777777" w:rsidR="00792164" w:rsidRDefault="00792164" w:rsidP="00792164">
      <w:pPr>
        <w:ind w:firstLine="360"/>
        <w:jc w:val="left"/>
        <w:rPr>
          <w:rFonts w:cs="Times New Roman"/>
          <w:sz w:val="18"/>
          <w:szCs w:val="18"/>
        </w:rPr>
      </w:pPr>
      <w:r>
        <w:rPr>
          <w:rFonts w:cs="Times New Roman"/>
          <w:sz w:val="18"/>
          <w:szCs w:val="18"/>
          <w:vertAlign w:val="superscript"/>
        </w:rPr>
        <w:t>1</w:t>
      </w:r>
      <w:r>
        <w:rPr>
          <w:rFonts w:cs="Times New Roman"/>
          <w:sz w:val="18"/>
          <w:szCs w:val="18"/>
        </w:rPr>
        <w:t xml:space="preserve"> The currency of cost is USD.</w:t>
      </w:r>
    </w:p>
    <w:p w14:paraId="3E88E385" w14:textId="77777777" w:rsidR="00035381" w:rsidRPr="00792164" w:rsidRDefault="00035381">
      <w:pPr>
        <w:ind w:firstLine="480"/>
        <w:rPr>
          <w:rFonts w:cs="Times New Roman"/>
          <w:szCs w:val="24"/>
        </w:rPr>
      </w:pPr>
    </w:p>
    <w:p w14:paraId="3E88E386" w14:textId="77777777" w:rsidR="00035381" w:rsidRDefault="00565304" w:rsidP="006B19E1">
      <w:pPr>
        <w:pStyle w:val="Subtitle"/>
        <w:ind w:firstLine="480"/>
      </w:pPr>
      <w:r>
        <w:t>Probabilistic sensitivity analysis</w:t>
      </w:r>
    </w:p>
    <w:p w14:paraId="65AF234C" w14:textId="085281CF" w:rsidR="00193F43" w:rsidRDefault="00565304" w:rsidP="00193F43">
      <w:pPr>
        <w:ind w:firstLine="480"/>
        <w:rPr>
          <w:rFonts w:eastAsiaTheme="minorEastAsia" w:cs="Times New Roman"/>
          <w:szCs w:val="24"/>
        </w:rPr>
      </w:pPr>
      <w:r>
        <w:rPr>
          <w:rFonts w:cs="Times New Roman"/>
          <w:szCs w:val="24"/>
        </w:rPr>
        <w:t xml:space="preserve">  </w:t>
      </w:r>
      <w:r w:rsidR="00C811C8">
        <w:rPr>
          <w:rFonts w:cs="Times New Roman"/>
          <w:szCs w:val="24"/>
        </w:rPr>
        <w:t xml:space="preserve">In this analysis, </w:t>
      </w:r>
      <w:r w:rsidR="00BA30A9">
        <w:rPr>
          <w:rFonts w:cs="Times New Roman"/>
          <w:szCs w:val="24"/>
        </w:rPr>
        <w:t xml:space="preserve">a </w:t>
      </w:r>
      <w:r w:rsidR="00C315F0">
        <w:rPr>
          <w:rFonts w:cs="Times New Roman"/>
          <w:szCs w:val="24"/>
        </w:rPr>
        <w:t>Monte Carlo simulation was conducted to estimate the standard error of each parameter, by which</w:t>
      </w:r>
      <w:r w:rsidR="00C315F0" w:rsidDel="00C811C8">
        <w:rPr>
          <w:rFonts w:cs="Times New Roman"/>
          <w:szCs w:val="24"/>
        </w:rPr>
        <w:t xml:space="preserve"> </w:t>
      </w:r>
      <w:r>
        <w:rPr>
          <w:rFonts w:cs="Times New Roman"/>
          <w:szCs w:val="24"/>
        </w:rPr>
        <w:t>interventions’ efficac</w:t>
      </w:r>
      <w:r w:rsidR="00364DC0">
        <w:rPr>
          <w:rFonts w:cs="Times New Roman"/>
          <w:szCs w:val="24"/>
        </w:rPr>
        <w:t>y</w:t>
      </w:r>
      <w:r>
        <w:rPr>
          <w:rFonts w:cs="Times New Roman"/>
          <w:szCs w:val="24"/>
        </w:rPr>
        <w:t xml:space="preserve"> </w:t>
      </w:r>
      <w:r w:rsidR="00364DC0">
        <w:rPr>
          <w:rFonts w:cs="Times New Roman"/>
          <w:szCs w:val="24"/>
        </w:rPr>
        <w:t>is</w:t>
      </w:r>
      <w:r w:rsidR="00C811C8">
        <w:rPr>
          <w:rFonts w:cs="Times New Roman"/>
          <w:szCs w:val="24"/>
        </w:rPr>
        <w:t xml:space="preserve"> assumed to follow </w:t>
      </w:r>
      <w:r>
        <w:rPr>
          <w:rFonts w:cs="Times New Roman"/>
          <w:szCs w:val="24"/>
        </w:rPr>
        <w:t>the beta distribution while costs comply with the gamma distribution.</w:t>
      </w:r>
      <w:r w:rsidR="00EA3E80">
        <w:rPr>
          <w:rFonts w:cs="Times New Roman"/>
          <w:szCs w:val="24"/>
        </w:rPr>
        <w:t xml:space="preserve"> </w:t>
      </w:r>
      <w:r w:rsidR="001B1956">
        <w:rPr>
          <w:rFonts w:cs="Times New Roman"/>
          <w:szCs w:val="24"/>
        </w:rPr>
        <w:t>The</w:t>
      </w:r>
      <w:r w:rsidR="002427A5">
        <w:rPr>
          <w:rFonts w:cs="Times New Roman"/>
          <w:szCs w:val="24"/>
        </w:rPr>
        <w:t xml:space="preserve"> ICER result</w:t>
      </w:r>
      <w:r w:rsidR="00020EFC">
        <w:rPr>
          <w:rFonts w:cs="Times New Roman"/>
          <w:szCs w:val="24"/>
        </w:rPr>
        <w:t>s</w:t>
      </w:r>
      <w:r w:rsidR="002427A5">
        <w:rPr>
          <w:rFonts w:cs="Times New Roman"/>
          <w:szCs w:val="24"/>
        </w:rPr>
        <w:t xml:space="preserve"> </w:t>
      </w:r>
      <w:r w:rsidR="002427A5">
        <w:rPr>
          <w:rFonts w:cs="Times New Roman"/>
          <w:szCs w:val="24"/>
        </w:rPr>
        <w:lastRenderedPageBreak/>
        <w:t>generated from the simulated scenarios</w:t>
      </w:r>
      <w:r w:rsidR="002D3234">
        <w:rPr>
          <w:rFonts w:cs="Times New Roman"/>
          <w:szCs w:val="24"/>
        </w:rPr>
        <w:t xml:space="preserve"> </w:t>
      </w:r>
      <w:r w:rsidR="001B1956">
        <w:rPr>
          <w:rFonts w:cs="Times New Roman"/>
          <w:szCs w:val="24"/>
        </w:rPr>
        <w:t xml:space="preserve">are located right </w:t>
      </w:r>
      <w:r w:rsidR="002D3234">
        <w:rPr>
          <w:rFonts w:cs="Times New Roman"/>
          <w:szCs w:val="24"/>
        </w:rPr>
        <w:t xml:space="preserve">below the line </w:t>
      </w:r>
      <w:r w:rsidR="001B1956">
        <w:rPr>
          <w:rFonts w:cs="Times New Roman"/>
          <w:szCs w:val="24"/>
        </w:rPr>
        <w:t xml:space="preserve">through the origin, which is the WTP threshold (11943 USD). This shows </w:t>
      </w:r>
      <w:r w:rsidR="00956E9A">
        <w:rPr>
          <w:rFonts w:cs="Times New Roman"/>
          <w:szCs w:val="24"/>
        </w:rPr>
        <w:t xml:space="preserve">that all zinc interventions </w:t>
      </w:r>
      <w:r w:rsidR="00364DC0">
        <w:rPr>
          <w:rFonts w:cs="Times New Roman"/>
          <w:szCs w:val="24"/>
        </w:rPr>
        <w:t>were</w:t>
      </w:r>
      <w:r w:rsidR="00D4100A">
        <w:rPr>
          <w:rFonts w:cs="Times New Roman"/>
          <w:szCs w:val="24"/>
        </w:rPr>
        <w:t xml:space="preserve"> </w:t>
      </w:r>
      <w:r w:rsidR="00956E9A">
        <w:rPr>
          <w:rFonts w:cs="Times New Roman"/>
          <w:szCs w:val="24"/>
        </w:rPr>
        <w:t>cost-effective</w:t>
      </w:r>
      <w:r w:rsidR="00D4100A">
        <w:rPr>
          <w:rFonts w:cs="Times New Roman"/>
          <w:szCs w:val="24"/>
        </w:rPr>
        <w:t xml:space="preserve"> </w:t>
      </w:r>
      <w:r w:rsidR="00D4100A" w:rsidRPr="00383665">
        <w:rPr>
          <w:rFonts w:cs="Times New Roman"/>
          <w:szCs w:val="24"/>
        </w:rPr>
        <w:t>in most of the simulation round</w:t>
      </w:r>
      <w:r w:rsidR="00364DC0">
        <w:rPr>
          <w:rFonts w:cs="Times New Roman"/>
          <w:szCs w:val="24"/>
        </w:rPr>
        <w:t>s</w:t>
      </w:r>
      <w:r w:rsidR="00D4100A">
        <w:rPr>
          <w:rFonts w:cs="Times New Roman"/>
          <w:szCs w:val="24"/>
        </w:rPr>
        <w:t xml:space="preserve">. </w:t>
      </w:r>
      <w:bookmarkStart w:id="20" w:name="_Hlk134400869"/>
      <w:r w:rsidR="004968D0" w:rsidRPr="004968D0">
        <w:rPr>
          <w:rFonts w:cs="Times New Roman"/>
          <w:szCs w:val="24"/>
        </w:rPr>
        <w:t>In our 1000 times simulation, the percentage with cost-effective results fell short the ICER threshold are 100% for biofortification (breeding techniques), 99.8% for biofortification (agronomic approach), 94.1% for zinc supplementation, and 99.9% for food fortification.</w:t>
      </w:r>
      <w:r w:rsidR="00956E9A">
        <w:rPr>
          <w:rFonts w:cs="Times New Roman"/>
          <w:szCs w:val="24"/>
        </w:rPr>
        <w:t xml:space="preserve"> </w:t>
      </w:r>
      <w:bookmarkEnd w:id="20"/>
      <w:r w:rsidR="001B1956">
        <w:rPr>
          <w:rFonts w:cs="Times New Roman"/>
          <w:szCs w:val="24"/>
        </w:rPr>
        <w:t>Z</w:t>
      </w:r>
      <w:r>
        <w:rPr>
          <w:rFonts w:cs="Times New Roman"/>
          <w:szCs w:val="24"/>
        </w:rPr>
        <w:t>inc-</w:t>
      </w:r>
      <w:r w:rsidR="008143A5">
        <w:rPr>
          <w:rFonts w:cs="Times New Roman"/>
          <w:szCs w:val="24"/>
        </w:rPr>
        <w:t>bio</w:t>
      </w:r>
      <w:r>
        <w:rPr>
          <w:rFonts w:cs="Times New Roman"/>
          <w:szCs w:val="24"/>
        </w:rPr>
        <w:t xml:space="preserve">fortified wheat flour with breeding techniques was again </w:t>
      </w:r>
      <w:r w:rsidR="001B1956">
        <w:rPr>
          <w:rFonts w:cs="Times New Roman"/>
          <w:szCs w:val="24"/>
        </w:rPr>
        <w:t xml:space="preserve">preferred over </w:t>
      </w:r>
      <w:r>
        <w:rPr>
          <w:rFonts w:cs="Times New Roman"/>
          <w:szCs w:val="24"/>
        </w:rPr>
        <w:t>zinc supplementation, food fortification, and biofortification with an agronomic approach. The</w:t>
      </w:r>
      <w:r w:rsidR="006968FC">
        <w:rPr>
          <w:rFonts w:cs="Times New Roman"/>
          <w:szCs w:val="24"/>
        </w:rPr>
        <w:t>se</w:t>
      </w:r>
      <w:r>
        <w:rPr>
          <w:rFonts w:cs="Times New Roman"/>
          <w:szCs w:val="24"/>
        </w:rPr>
        <w:t xml:space="preserve"> results generally </w:t>
      </w:r>
      <w:r w:rsidR="006968FC">
        <w:rPr>
          <w:rFonts w:cs="Times New Roman"/>
          <w:szCs w:val="24"/>
        </w:rPr>
        <w:t xml:space="preserve">confirm </w:t>
      </w:r>
      <w:r>
        <w:rPr>
          <w:rFonts w:cs="Times New Roman"/>
          <w:szCs w:val="24"/>
        </w:rPr>
        <w:t>the robustness of</w:t>
      </w:r>
      <w:r w:rsidR="00364DC0">
        <w:rPr>
          <w:rFonts w:cs="Times New Roman"/>
          <w:szCs w:val="24"/>
        </w:rPr>
        <w:t xml:space="preserve"> the</w:t>
      </w:r>
      <w:r>
        <w:rPr>
          <w:rFonts w:cs="Times New Roman"/>
          <w:szCs w:val="24"/>
        </w:rPr>
        <w:t xml:space="preserve"> baseline results. </w:t>
      </w:r>
    </w:p>
    <w:p w14:paraId="2CEC3FE4" w14:textId="4FA7CF72" w:rsidR="00193F43" w:rsidRDefault="00193F43" w:rsidP="00193F43">
      <w:pPr>
        <w:ind w:firstLine="480"/>
        <w:rPr>
          <w:rFonts w:eastAsiaTheme="minorEastAsia" w:cs="Times New Roman"/>
          <w:szCs w:val="24"/>
        </w:rPr>
      </w:pPr>
      <w:bookmarkStart w:id="21" w:name="_Hlk134400166"/>
      <w:r w:rsidRPr="00193F43">
        <w:rPr>
          <w:rFonts w:eastAsiaTheme="minorEastAsia" w:cs="Times New Roman"/>
          <w:szCs w:val="24"/>
        </w:rPr>
        <w:t xml:space="preserve">However, </w:t>
      </w:r>
      <w:r>
        <w:rPr>
          <w:rFonts w:eastAsiaTheme="minorEastAsia" w:cs="Times New Roman"/>
          <w:szCs w:val="24"/>
        </w:rPr>
        <w:t>the</w:t>
      </w:r>
      <w:r w:rsidRPr="00193F43">
        <w:rPr>
          <w:rFonts w:eastAsiaTheme="minorEastAsia" w:cs="Times New Roman"/>
          <w:szCs w:val="24"/>
        </w:rPr>
        <w:t xml:space="preserve"> result</w:t>
      </w:r>
      <w:r>
        <w:rPr>
          <w:rFonts w:eastAsiaTheme="minorEastAsia" w:cs="Times New Roman"/>
          <w:szCs w:val="24"/>
        </w:rPr>
        <w:t>s</w:t>
      </w:r>
      <w:r w:rsidRPr="00193F43">
        <w:rPr>
          <w:rFonts w:eastAsiaTheme="minorEastAsia" w:cs="Times New Roman"/>
          <w:szCs w:val="24"/>
        </w:rPr>
        <w:t xml:space="preserve"> </w:t>
      </w:r>
      <w:r w:rsidR="00BA30A9" w:rsidRPr="00193F43">
        <w:rPr>
          <w:rFonts w:eastAsiaTheme="minorEastAsia" w:cs="Times New Roman"/>
          <w:szCs w:val="24"/>
        </w:rPr>
        <w:t>need</w:t>
      </w:r>
      <w:r w:rsidRPr="00193F43">
        <w:rPr>
          <w:rFonts w:eastAsiaTheme="minorEastAsia" w:cs="Times New Roman"/>
          <w:szCs w:val="24"/>
        </w:rPr>
        <w:t xml:space="preserve"> to be interpreted with caution</w:t>
      </w:r>
      <w:r w:rsidR="00364DC0">
        <w:rPr>
          <w:rFonts w:eastAsiaTheme="minorEastAsia" w:cs="Times New Roman"/>
          <w:szCs w:val="24"/>
        </w:rPr>
        <w:t>,</w:t>
      </w:r>
      <w:r w:rsidRPr="00193F43">
        <w:rPr>
          <w:rFonts w:eastAsiaTheme="minorEastAsia" w:cs="Times New Roman"/>
          <w:szCs w:val="24"/>
        </w:rPr>
        <w:t xml:space="preserve"> as China is a country with unbalanced socio-economic development and diversified regional dietary habits.</w:t>
      </w:r>
      <w:bookmarkStart w:id="22" w:name="_Hlk134401125"/>
      <w:r w:rsidR="00392D71" w:rsidRPr="00392D71">
        <w:t xml:space="preserve"> </w:t>
      </w:r>
      <w:r w:rsidR="00392D71" w:rsidRPr="00392D71">
        <w:rPr>
          <w:rFonts w:eastAsiaTheme="minorEastAsia" w:cs="Times New Roman"/>
          <w:szCs w:val="24"/>
        </w:rPr>
        <w:t>In our estimation, we extrapolate findings from meta-studies as well as RCTs conducted in other countries. Although adaptions have been made to fit the data to our target population, a regional assessment with local data would be necessary to further validate our findings.</w:t>
      </w:r>
      <w:r w:rsidRPr="00193F43">
        <w:rPr>
          <w:rFonts w:eastAsiaTheme="minorEastAsia" w:cs="Times New Roman"/>
          <w:szCs w:val="24"/>
        </w:rPr>
        <w:t xml:space="preserve"> </w:t>
      </w:r>
      <w:bookmarkEnd w:id="21"/>
      <w:bookmarkEnd w:id="22"/>
      <w:r w:rsidR="009F0208" w:rsidRPr="009F0208">
        <w:rPr>
          <w:rFonts w:eastAsiaTheme="minorEastAsia" w:cs="Times New Roman"/>
          <w:szCs w:val="24"/>
        </w:rPr>
        <w:t>Lack of the whole life analysis is another limitation of our estimations. The interventions are expected to impact humans throughout their entire lives. However, our estimation only took into account the impact on children and the adolescents’ period. As most of the accessible medical evidence focuses on children and adolescents, the life cycle assessment is impractical due to lack of data on zinc intake status and intervention effectiveness of all age groups and genders.</w:t>
      </w:r>
      <w:r w:rsidR="009F0208">
        <w:rPr>
          <w:rFonts w:eastAsiaTheme="minorEastAsia" w:cs="Times New Roman"/>
          <w:szCs w:val="24"/>
        </w:rPr>
        <w:t xml:space="preserve"> </w:t>
      </w:r>
      <w:r w:rsidRPr="00193F43">
        <w:rPr>
          <w:rFonts w:eastAsiaTheme="minorEastAsia" w:cs="Times New Roman"/>
          <w:szCs w:val="24"/>
        </w:rPr>
        <w:t xml:space="preserve">Besides, we had not distinguished the cost difference between GM and conventional breeding, which is </w:t>
      </w:r>
      <w:r w:rsidR="00092528">
        <w:rPr>
          <w:rFonts w:eastAsiaTheme="minorEastAsia" w:cs="Times New Roman"/>
          <w:szCs w:val="24"/>
        </w:rPr>
        <w:t>also a</w:t>
      </w:r>
      <w:r w:rsidRPr="00193F43">
        <w:rPr>
          <w:rFonts w:eastAsiaTheme="minorEastAsia" w:cs="Times New Roman"/>
          <w:szCs w:val="24"/>
        </w:rPr>
        <w:t xml:space="preserve"> limitation of this study. Further research is required to address the specific cost</w:t>
      </w:r>
      <w:r w:rsidR="00632812">
        <w:rPr>
          <w:rFonts w:eastAsiaTheme="minorEastAsia" w:cs="Times New Roman"/>
          <w:szCs w:val="24"/>
        </w:rPr>
        <w:t>s</w:t>
      </w:r>
      <w:r w:rsidRPr="00193F43">
        <w:rPr>
          <w:rFonts w:eastAsiaTheme="minorEastAsia" w:cs="Times New Roman"/>
          <w:szCs w:val="24"/>
        </w:rPr>
        <w:t xml:space="preserve"> relating to different biofortification techniques to make comparisons in a more accurate way.</w:t>
      </w:r>
    </w:p>
    <w:p w14:paraId="46CE306E" w14:textId="77777777" w:rsidR="00792164" w:rsidRPr="00383665" w:rsidRDefault="00792164" w:rsidP="00193F43">
      <w:pPr>
        <w:ind w:firstLine="480"/>
        <w:rPr>
          <w:rFonts w:eastAsiaTheme="minorEastAsia" w:cs="Times New Roman"/>
          <w:szCs w:val="24"/>
        </w:rPr>
      </w:pPr>
    </w:p>
    <w:p w14:paraId="274674B5" w14:textId="69AB3114" w:rsidR="00EA70CC" w:rsidRPr="00EA70CC" w:rsidRDefault="00792164" w:rsidP="00792164">
      <w:pPr>
        <w:ind w:firstLineChars="0" w:firstLine="0"/>
        <w:rPr>
          <w:rFonts w:cs="Times New Roman"/>
          <w:b/>
          <w:bCs/>
          <w:szCs w:val="24"/>
        </w:rPr>
      </w:pPr>
      <w:r>
        <w:rPr>
          <w:noProof/>
        </w:rPr>
        <w:drawing>
          <wp:inline distT="0" distB="0" distL="0" distR="0" wp14:anchorId="6786CA38" wp14:editId="5E122F0A">
            <wp:extent cx="5274310" cy="2966720"/>
            <wp:effectExtent l="0" t="0" r="2540" b="5080"/>
            <wp:docPr id="3553884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88462" name=""/>
                    <pic:cNvPicPr/>
                  </pic:nvPicPr>
                  <pic:blipFill>
                    <a:blip r:embed="rId12"/>
                    <a:stretch>
                      <a:fillRect/>
                    </a:stretch>
                  </pic:blipFill>
                  <pic:spPr>
                    <a:xfrm>
                      <a:off x="0" y="0"/>
                      <a:ext cx="5274310" cy="2966720"/>
                    </a:xfrm>
                    <a:prstGeom prst="rect">
                      <a:avLst/>
                    </a:prstGeom>
                  </pic:spPr>
                </pic:pic>
              </a:graphicData>
            </a:graphic>
          </wp:inline>
        </w:drawing>
      </w:r>
    </w:p>
    <w:p w14:paraId="3E88E389" w14:textId="1320B962" w:rsidR="00035381" w:rsidRPr="00963381" w:rsidRDefault="00565304" w:rsidP="00E97FAF">
      <w:pPr>
        <w:ind w:firstLineChars="0" w:firstLine="0"/>
        <w:rPr>
          <w:rFonts w:cs="Times New Roman"/>
          <w:b/>
          <w:bCs/>
          <w:szCs w:val="24"/>
        </w:rPr>
      </w:pPr>
      <w:bookmarkStart w:id="23" w:name="_Hlk141468071"/>
      <w:r w:rsidRPr="001F365F">
        <w:rPr>
          <w:rFonts w:cs="Times New Roman"/>
          <w:b/>
          <w:bCs/>
          <w:szCs w:val="24"/>
        </w:rPr>
        <w:t xml:space="preserve">Figure 3. </w:t>
      </w:r>
      <w:bookmarkStart w:id="24" w:name="_Hlk144047357"/>
      <w:r w:rsidRPr="001F365F">
        <w:rPr>
          <w:rFonts w:cs="Times New Roman"/>
          <w:b/>
          <w:bCs/>
          <w:szCs w:val="24"/>
        </w:rPr>
        <w:t>Results of Monte Carlo Simulation (Probabilistic Sensitivity Analysis)</w:t>
      </w:r>
      <w:r w:rsidR="00644BD8">
        <w:rPr>
          <w:rFonts w:cs="Times New Roman"/>
          <w:b/>
          <w:bCs/>
          <w:szCs w:val="24"/>
        </w:rPr>
        <w:t xml:space="preserve">. </w:t>
      </w:r>
      <w:r w:rsidR="00DF4172" w:rsidRPr="00DF4172">
        <w:rPr>
          <w:rFonts w:cs="Times New Roman"/>
          <w:b/>
          <w:bCs/>
          <w:szCs w:val="24"/>
        </w:rPr>
        <w:t xml:space="preserve">Scatterplots were employed to superimpose the cost-effectiveness plane, </w:t>
      </w:r>
      <w:r w:rsidR="00DF4172" w:rsidRPr="00DF4172">
        <w:rPr>
          <w:rFonts w:cs="Times New Roman"/>
          <w:b/>
          <w:bCs/>
          <w:szCs w:val="24"/>
        </w:rPr>
        <w:lastRenderedPageBreak/>
        <w:t xml:space="preserve">demonstrating scenarios where implementing zinc interventions proved more or less cost-effective compared to having no intervention. These scatterplots were generated from the outcomes of Bayesian multivariate probabilistic sensitivity analyses. To aid interpretation, a dashed line intersecting the cost-effectiveness plane represented the willingness-to-pay threshold. </w:t>
      </w:r>
      <w:r w:rsidR="00644BD8" w:rsidRPr="00644BD8">
        <w:rPr>
          <w:rFonts w:cs="Times New Roman"/>
          <w:b/>
          <w:bCs/>
          <w:szCs w:val="24"/>
        </w:rPr>
        <w:t>QALYs, quality-adjusted life-years.</w:t>
      </w:r>
      <w:bookmarkEnd w:id="24"/>
    </w:p>
    <w:bookmarkEnd w:id="23"/>
    <w:p w14:paraId="768FAD70" w14:textId="4DDBDAC1" w:rsidR="00264752" w:rsidRDefault="002C559D" w:rsidP="002C559D">
      <w:pPr>
        <w:ind w:firstLineChars="100" w:firstLine="240"/>
        <w:rPr>
          <w:rFonts w:cs="Times New Roman"/>
          <w:szCs w:val="24"/>
        </w:rPr>
      </w:pPr>
      <w:r>
        <w:rPr>
          <w:rFonts w:cs="Times New Roman" w:hint="eastAsia"/>
          <w:szCs w:val="24"/>
        </w:rPr>
        <w:t xml:space="preserve"> </w:t>
      </w:r>
    </w:p>
    <w:p w14:paraId="6BE2C992" w14:textId="55ABF76E" w:rsidR="00264752" w:rsidRPr="00963381" w:rsidRDefault="00322E35" w:rsidP="00792164">
      <w:pPr>
        <w:pStyle w:val="Heading1"/>
        <w:numPr>
          <w:ilvl w:val="0"/>
          <w:numId w:val="6"/>
        </w:numPr>
        <w:ind w:firstLineChars="0"/>
      </w:pPr>
      <w:r w:rsidRPr="00963381">
        <w:t>Conclusion</w:t>
      </w:r>
    </w:p>
    <w:p w14:paraId="3E88E396" w14:textId="47EAFEAC" w:rsidR="00A80D30" w:rsidRDefault="00296A14" w:rsidP="00296A14">
      <w:pPr>
        <w:ind w:firstLineChars="100" w:firstLine="240"/>
        <w:rPr>
          <w:rFonts w:cs="Times New Roman"/>
          <w:szCs w:val="24"/>
        </w:rPr>
      </w:pPr>
      <w:r w:rsidRPr="00296A14">
        <w:rPr>
          <w:rFonts w:cs="Times New Roman"/>
          <w:szCs w:val="24"/>
        </w:rPr>
        <w:t>This study shows that zinc biofortification and food fortification, and to a lesser extent, large</w:t>
      </w:r>
      <w:r w:rsidRPr="00296A14">
        <w:rPr>
          <w:rFonts w:cs="Times New Roman" w:hint="eastAsia"/>
          <w:szCs w:val="24"/>
        </w:rPr>
        <w:t>‐</w:t>
      </w:r>
      <w:r w:rsidRPr="00296A14">
        <w:rPr>
          <w:rFonts w:cs="Times New Roman"/>
          <w:szCs w:val="24"/>
        </w:rPr>
        <w:t>scale zinc</w:t>
      </w:r>
      <w:r>
        <w:rPr>
          <w:rFonts w:cs="Times New Roman"/>
          <w:szCs w:val="24"/>
        </w:rPr>
        <w:t xml:space="preserve"> </w:t>
      </w:r>
      <w:r w:rsidRPr="00296A14">
        <w:rPr>
          <w:rFonts w:cs="Times New Roman"/>
          <w:szCs w:val="24"/>
        </w:rPr>
        <w:t>supplementation, are highly cost</w:t>
      </w:r>
      <w:r w:rsidRPr="00296A14">
        <w:rPr>
          <w:rFonts w:cs="Times New Roman" w:hint="eastAsia"/>
          <w:szCs w:val="24"/>
        </w:rPr>
        <w:t>‐</w:t>
      </w:r>
      <w:r w:rsidRPr="00296A14">
        <w:rPr>
          <w:rFonts w:cs="Times New Roman"/>
          <w:szCs w:val="24"/>
        </w:rPr>
        <w:t>effective in alleviating the disease burden of zinc deficiency in China.</w:t>
      </w:r>
      <w:r>
        <w:rPr>
          <w:rFonts w:cs="Times New Roman"/>
          <w:szCs w:val="24"/>
        </w:rPr>
        <w:t xml:space="preserve"> </w:t>
      </w:r>
      <w:r w:rsidRPr="00296A14">
        <w:rPr>
          <w:rFonts w:cs="Times New Roman"/>
          <w:szCs w:val="24"/>
        </w:rPr>
        <w:t>Importantly, consumer perceptions towards these health interventions might significantly alter the outcomes.</w:t>
      </w:r>
      <w:r>
        <w:rPr>
          <w:rFonts w:cs="Times New Roman"/>
          <w:szCs w:val="24"/>
        </w:rPr>
        <w:t xml:space="preserve"> </w:t>
      </w:r>
      <w:r w:rsidRPr="00296A14">
        <w:rPr>
          <w:rFonts w:cs="Times New Roman"/>
          <w:szCs w:val="24"/>
        </w:rPr>
        <w:t>While this research is likely to advance China's nutrition programs by providing empirical evidence for</w:t>
      </w:r>
      <w:r>
        <w:rPr>
          <w:rFonts w:cs="Times New Roman"/>
          <w:szCs w:val="24"/>
        </w:rPr>
        <w:t xml:space="preserve"> </w:t>
      </w:r>
      <w:r w:rsidRPr="00296A14">
        <w:rPr>
          <w:rFonts w:cs="Times New Roman"/>
          <w:szCs w:val="24"/>
        </w:rPr>
        <w:t>decision</w:t>
      </w:r>
      <w:r w:rsidRPr="00296A14">
        <w:rPr>
          <w:rFonts w:cs="Times New Roman" w:hint="eastAsia"/>
          <w:szCs w:val="24"/>
        </w:rPr>
        <w:t>‐</w:t>
      </w:r>
      <w:r w:rsidRPr="00296A14">
        <w:rPr>
          <w:rFonts w:cs="Times New Roman"/>
          <w:szCs w:val="24"/>
        </w:rPr>
        <w:t>making in zinc deficiency reduction, there are some drawbacks to our current research approach. Due</w:t>
      </w:r>
      <w:r>
        <w:rPr>
          <w:rFonts w:cs="Times New Roman"/>
          <w:szCs w:val="24"/>
        </w:rPr>
        <w:t xml:space="preserve"> </w:t>
      </w:r>
      <w:r w:rsidRPr="00296A14">
        <w:rPr>
          <w:rFonts w:cs="Times New Roman"/>
          <w:szCs w:val="24"/>
        </w:rPr>
        <w:t>to a reliance on international data in the event that China</w:t>
      </w:r>
      <w:r w:rsidRPr="00296A14">
        <w:rPr>
          <w:rFonts w:cs="Times New Roman" w:hint="eastAsia"/>
          <w:szCs w:val="24"/>
        </w:rPr>
        <w:t>‐</w:t>
      </w:r>
      <w:r w:rsidRPr="00296A14">
        <w:rPr>
          <w:rFonts w:cs="Times New Roman"/>
          <w:szCs w:val="24"/>
        </w:rPr>
        <w:t>specific data was lacking, our results might not</w:t>
      </w:r>
      <w:r>
        <w:rPr>
          <w:rFonts w:cs="Times New Roman"/>
          <w:szCs w:val="24"/>
        </w:rPr>
        <w:t xml:space="preserve"> </w:t>
      </w:r>
      <w:r w:rsidRPr="00296A14">
        <w:rPr>
          <w:rFonts w:cs="Times New Roman"/>
          <w:szCs w:val="24"/>
        </w:rPr>
        <w:t>entirely reflect the potential impact of interventions and, hence, the real</w:t>
      </w:r>
      <w:r w:rsidRPr="00296A14">
        <w:rPr>
          <w:rFonts w:cs="Times New Roman" w:hint="eastAsia"/>
          <w:szCs w:val="24"/>
        </w:rPr>
        <w:t>‐</w:t>
      </w:r>
      <w:r w:rsidRPr="00296A14">
        <w:rPr>
          <w:rFonts w:cs="Times New Roman"/>
          <w:szCs w:val="24"/>
        </w:rPr>
        <w:t>life cost</w:t>
      </w:r>
      <w:r w:rsidRPr="00296A14">
        <w:rPr>
          <w:rFonts w:cs="Times New Roman" w:hint="eastAsia"/>
          <w:szCs w:val="24"/>
        </w:rPr>
        <w:t>‐</w:t>
      </w:r>
      <w:r w:rsidRPr="00296A14">
        <w:rPr>
          <w:rFonts w:cs="Times New Roman"/>
          <w:szCs w:val="24"/>
        </w:rPr>
        <w:t>effectiveness. To account</w:t>
      </w:r>
      <w:r>
        <w:rPr>
          <w:rFonts w:cs="Times New Roman"/>
          <w:szCs w:val="24"/>
        </w:rPr>
        <w:t xml:space="preserve"> </w:t>
      </w:r>
      <w:r w:rsidRPr="00296A14">
        <w:rPr>
          <w:rFonts w:cs="Times New Roman"/>
          <w:szCs w:val="24"/>
        </w:rPr>
        <w:t>for such uncertainties, our study incorporated a sensitivity analysis to account for this. Furthermore, we</w:t>
      </w:r>
      <w:r>
        <w:rPr>
          <w:rFonts w:cs="Times New Roman"/>
          <w:szCs w:val="24"/>
        </w:rPr>
        <w:t xml:space="preserve"> </w:t>
      </w:r>
      <w:r w:rsidRPr="00296A14">
        <w:rPr>
          <w:rFonts w:cs="Times New Roman"/>
          <w:szCs w:val="24"/>
        </w:rPr>
        <w:t>assumed that the probability of persistent IDA was applied to 100% of the individuals who both suffer from</w:t>
      </w:r>
      <w:r>
        <w:rPr>
          <w:rFonts w:cs="Times New Roman"/>
          <w:szCs w:val="24"/>
        </w:rPr>
        <w:t xml:space="preserve"> </w:t>
      </w:r>
      <w:r w:rsidRPr="00296A14">
        <w:rPr>
          <w:rFonts w:cs="Times New Roman"/>
          <w:szCs w:val="24"/>
        </w:rPr>
        <w:t>excessive zinc intake and IDA. This assumption would overestimate the indirect cost of zinc supplementation</w:t>
      </w:r>
      <w:r>
        <w:rPr>
          <w:rFonts w:cs="Times New Roman"/>
          <w:szCs w:val="24"/>
        </w:rPr>
        <w:t xml:space="preserve"> </w:t>
      </w:r>
      <w:r w:rsidRPr="00296A14">
        <w:rPr>
          <w:rFonts w:cs="Times New Roman"/>
          <w:szCs w:val="24"/>
        </w:rPr>
        <w:t>since the excessive risks induced by zinc supplementation were estimated to be higher than those associated</w:t>
      </w:r>
      <w:r>
        <w:rPr>
          <w:rFonts w:cs="Times New Roman"/>
          <w:szCs w:val="24"/>
        </w:rPr>
        <w:t xml:space="preserve"> </w:t>
      </w:r>
      <w:r w:rsidRPr="00296A14">
        <w:rPr>
          <w:rFonts w:cs="Times New Roman"/>
          <w:szCs w:val="24"/>
        </w:rPr>
        <w:t>with other interventions. In addition, we have not considered regional differences in the evaluation, which</w:t>
      </w:r>
      <w:r>
        <w:rPr>
          <w:rFonts w:cs="Times New Roman"/>
          <w:szCs w:val="24"/>
        </w:rPr>
        <w:t xml:space="preserve"> </w:t>
      </w:r>
      <w:r w:rsidRPr="00296A14">
        <w:rPr>
          <w:rFonts w:cs="Times New Roman"/>
          <w:szCs w:val="24"/>
        </w:rPr>
        <w:t>would further improve the variations in the applicability of the interventions at the local level. As the findings</w:t>
      </w:r>
      <w:r>
        <w:rPr>
          <w:rFonts w:cs="Times New Roman"/>
          <w:szCs w:val="24"/>
        </w:rPr>
        <w:t xml:space="preserve"> </w:t>
      </w:r>
      <w:r w:rsidRPr="00296A14">
        <w:rPr>
          <w:rFonts w:cs="Times New Roman"/>
          <w:szCs w:val="24"/>
        </w:rPr>
        <w:t>of our robust model underline the value of each of the examined strategies in terms of cost</w:t>
      </w:r>
      <w:r w:rsidRPr="00296A14">
        <w:rPr>
          <w:rFonts w:cs="Times New Roman" w:hint="eastAsia"/>
          <w:szCs w:val="24"/>
        </w:rPr>
        <w:t>‐</w:t>
      </w:r>
      <w:r w:rsidRPr="00296A14">
        <w:rPr>
          <w:rFonts w:cs="Times New Roman"/>
          <w:szCs w:val="24"/>
        </w:rPr>
        <w:t>effectiveness,</w:t>
      </w:r>
      <w:r>
        <w:rPr>
          <w:rFonts w:cs="Times New Roman"/>
          <w:szCs w:val="24"/>
        </w:rPr>
        <w:t xml:space="preserve"> </w:t>
      </w:r>
      <w:r w:rsidRPr="00296A14">
        <w:rPr>
          <w:rFonts w:cs="Times New Roman"/>
          <w:szCs w:val="24"/>
        </w:rPr>
        <w:t>region</w:t>
      </w:r>
      <w:r w:rsidRPr="00296A14">
        <w:rPr>
          <w:rFonts w:cs="Times New Roman" w:hint="eastAsia"/>
          <w:szCs w:val="24"/>
        </w:rPr>
        <w:t>‐</w:t>
      </w:r>
      <w:r w:rsidRPr="00296A14">
        <w:rPr>
          <w:rFonts w:cs="Times New Roman"/>
          <w:szCs w:val="24"/>
        </w:rPr>
        <w:t>specific targeting and deployment of these complementary interventions may also provide a potential</w:t>
      </w:r>
      <w:r>
        <w:rPr>
          <w:rFonts w:cs="Times New Roman"/>
          <w:szCs w:val="24"/>
        </w:rPr>
        <w:t xml:space="preserve"> </w:t>
      </w:r>
      <w:r w:rsidRPr="00296A14">
        <w:rPr>
          <w:rFonts w:cs="Times New Roman"/>
          <w:szCs w:val="24"/>
        </w:rPr>
        <w:t>avenue for tackling the problem of zinc deficiency in a sustainable way. However, to ensure a successful</w:t>
      </w:r>
      <w:r>
        <w:rPr>
          <w:rFonts w:cs="Times New Roman"/>
          <w:szCs w:val="24"/>
        </w:rPr>
        <w:t xml:space="preserve"> </w:t>
      </w:r>
      <w:r w:rsidRPr="00296A14">
        <w:rPr>
          <w:rFonts w:cs="Times New Roman"/>
          <w:szCs w:val="24"/>
        </w:rPr>
        <w:t>deployment, future research is needed to develop and evaluate science</w:t>
      </w:r>
      <w:r w:rsidRPr="00296A14">
        <w:rPr>
          <w:rFonts w:cs="Times New Roman" w:hint="eastAsia"/>
          <w:szCs w:val="24"/>
        </w:rPr>
        <w:t>‐</w:t>
      </w:r>
      <w:r w:rsidRPr="00296A14">
        <w:rPr>
          <w:rFonts w:cs="Times New Roman"/>
          <w:szCs w:val="24"/>
        </w:rPr>
        <w:t>based marketing strategies for the</w:t>
      </w:r>
      <w:r>
        <w:rPr>
          <w:rFonts w:cs="Times New Roman"/>
          <w:szCs w:val="24"/>
        </w:rPr>
        <w:t xml:space="preserve"> </w:t>
      </w:r>
      <w:r w:rsidRPr="00296A14">
        <w:rPr>
          <w:rFonts w:cs="Times New Roman"/>
          <w:szCs w:val="24"/>
        </w:rPr>
        <w:t>implementation and promotion of zinc interventions and, if needed, for reducing potential intangible costs</w:t>
      </w:r>
      <w:r>
        <w:rPr>
          <w:rFonts w:cs="Times New Roman"/>
          <w:szCs w:val="24"/>
        </w:rPr>
        <w:t xml:space="preserve"> </w:t>
      </w:r>
      <w:r w:rsidRPr="00296A14">
        <w:rPr>
          <w:rFonts w:cs="Times New Roman"/>
          <w:szCs w:val="24"/>
        </w:rPr>
        <w:t>induced by consumers' negative perceptions.</w:t>
      </w:r>
      <w:r w:rsidR="00A80D30">
        <w:rPr>
          <w:rFonts w:cs="Times New Roman"/>
          <w:szCs w:val="24"/>
        </w:rPr>
        <w:br w:type="page"/>
      </w:r>
    </w:p>
    <w:p w14:paraId="173EB76B" w14:textId="77777777" w:rsidR="00A33623" w:rsidRDefault="00565304" w:rsidP="00712166">
      <w:pPr>
        <w:pStyle w:val="Heading1"/>
        <w:suppressLineNumbers/>
        <w:ind w:left="482" w:hangingChars="200" w:hanging="482"/>
      </w:pPr>
      <w:r>
        <w:lastRenderedPageBreak/>
        <w:t>References</w:t>
      </w:r>
    </w:p>
    <w:p w14:paraId="2171840E" w14:textId="77777777" w:rsidR="00A33623" w:rsidRDefault="00A33623" w:rsidP="00712166">
      <w:pPr>
        <w:suppressLineNumbers/>
        <w:ind w:left="480" w:hangingChars="200" w:hanging="480"/>
        <w:rPr>
          <w:rFonts w:eastAsiaTheme="minorEastAsia"/>
        </w:rPr>
      </w:pPr>
    </w:p>
    <w:p w14:paraId="69516988" w14:textId="4CE0267B" w:rsidR="0094296D" w:rsidRPr="0094296D" w:rsidRDefault="008A12F1" w:rsidP="0094296D">
      <w:pPr>
        <w:autoSpaceDE w:val="0"/>
        <w:autoSpaceDN w:val="0"/>
        <w:adjustRightInd w:val="0"/>
        <w:ind w:firstLine="480"/>
        <w:jc w:val="left"/>
        <w:rPr>
          <w:rFonts w:cs="Times New Roman"/>
          <w:noProof/>
          <w:kern w:val="0"/>
          <w:szCs w:val="24"/>
        </w:rPr>
      </w:pPr>
      <w:r>
        <w:rPr>
          <w:rFonts w:eastAsiaTheme="minorEastAsia"/>
        </w:rPr>
        <w:fldChar w:fldCharType="begin" w:fldLock="1"/>
      </w:r>
      <w:r>
        <w:rPr>
          <w:rFonts w:eastAsiaTheme="minorEastAsia"/>
        </w:rPr>
        <w:instrText xml:space="preserve">ADDIN Mendeley Bibliography CSL_BIBLIOGRAPHY </w:instrText>
      </w:r>
      <w:r>
        <w:rPr>
          <w:rFonts w:eastAsiaTheme="minorEastAsia"/>
        </w:rPr>
        <w:fldChar w:fldCharType="separate"/>
      </w:r>
      <w:r w:rsidR="0094296D" w:rsidRPr="0094296D">
        <w:rPr>
          <w:rFonts w:cs="Times New Roman"/>
          <w:noProof/>
          <w:kern w:val="0"/>
          <w:szCs w:val="24"/>
        </w:rPr>
        <w:t xml:space="preserve">Adenle, A. A., Morris, E. J. and Parayil, G. (2013) ‘Status of development, regulation and adoption of GM agriculture in Africa: Views and positions of stakeholder groups’, </w:t>
      </w:r>
      <w:r w:rsidR="0094296D" w:rsidRPr="0094296D">
        <w:rPr>
          <w:rFonts w:cs="Times New Roman"/>
          <w:i/>
          <w:iCs/>
          <w:noProof/>
          <w:kern w:val="0"/>
          <w:szCs w:val="24"/>
        </w:rPr>
        <w:t>Food Policy</w:t>
      </w:r>
      <w:r w:rsidR="0094296D" w:rsidRPr="0094296D">
        <w:rPr>
          <w:rFonts w:cs="Times New Roman"/>
          <w:noProof/>
          <w:kern w:val="0"/>
          <w:szCs w:val="24"/>
        </w:rPr>
        <w:t>, 43, pp. 159–166.</w:t>
      </w:r>
    </w:p>
    <w:p w14:paraId="734A633D"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Agnew, U. M. and Slesinger, T. L. (2021) </w:t>
      </w:r>
      <w:r w:rsidRPr="0094296D">
        <w:rPr>
          <w:rFonts w:cs="Times New Roman"/>
          <w:i/>
          <w:iCs/>
          <w:noProof/>
          <w:kern w:val="0"/>
          <w:szCs w:val="24"/>
        </w:rPr>
        <w:t>Zinc Toxicity</w:t>
      </w:r>
      <w:r w:rsidRPr="0094296D">
        <w:rPr>
          <w:rFonts w:cs="Times New Roman"/>
          <w:noProof/>
          <w:kern w:val="0"/>
          <w:szCs w:val="24"/>
        </w:rPr>
        <w:t>. StatPearls Publishing, Treasure Island (FL). Available at: http://europepmc.org/books/NBK554548.</w:t>
      </w:r>
    </w:p>
    <w:p w14:paraId="07CE1D64"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Allen, L. </w:t>
      </w:r>
      <w:r w:rsidRPr="0094296D">
        <w:rPr>
          <w:rFonts w:cs="Times New Roman"/>
          <w:i/>
          <w:iCs/>
          <w:noProof/>
          <w:kern w:val="0"/>
          <w:szCs w:val="24"/>
        </w:rPr>
        <w:t>et al.</w:t>
      </w:r>
      <w:r w:rsidRPr="0094296D">
        <w:rPr>
          <w:rFonts w:cs="Times New Roman"/>
          <w:noProof/>
          <w:kern w:val="0"/>
          <w:szCs w:val="24"/>
        </w:rPr>
        <w:t xml:space="preserve"> (2006) </w:t>
      </w:r>
      <w:r w:rsidRPr="0094296D">
        <w:rPr>
          <w:rFonts w:cs="Times New Roman"/>
          <w:i/>
          <w:iCs/>
          <w:noProof/>
          <w:kern w:val="0"/>
          <w:szCs w:val="24"/>
        </w:rPr>
        <w:t>WHO/FAO Guidelines on Food Fortification with Micronutrients</w:t>
      </w:r>
      <w:r w:rsidRPr="0094296D">
        <w:rPr>
          <w:rFonts w:cs="Times New Roman"/>
          <w:noProof/>
          <w:kern w:val="0"/>
          <w:szCs w:val="24"/>
        </w:rPr>
        <w:t xml:space="preserve">, </w:t>
      </w:r>
      <w:r w:rsidRPr="0094296D">
        <w:rPr>
          <w:rFonts w:cs="Times New Roman"/>
          <w:i/>
          <w:iCs/>
          <w:noProof/>
          <w:kern w:val="0"/>
          <w:szCs w:val="24"/>
        </w:rPr>
        <w:t>Geneva: WHO</w:t>
      </w:r>
      <w:r w:rsidRPr="0094296D">
        <w:rPr>
          <w:rFonts w:cs="Times New Roman"/>
          <w:noProof/>
          <w:kern w:val="0"/>
          <w:szCs w:val="24"/>
        </w:rPr>
        <w:t>.</w:t>
      </w:r>
    </w:p>
    <w:p w14:paraId="094A2D1E"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Arsenault, J. E. and Brown, K. H. (2003) ‘Zinc intake of US preschool children exceeds new dietary reference intakes’, </w:t>
      </w:r>
      <w:r w:rsidRPr="0094296D">
        <w:rPr>
          <w:rFonts w:cs="Times New Roman"/>
          <w:i/>
          <w:iCs/>
          <w:noProof/>
          <w:kern w:val="0"/>
          <w:szCs w:val="24"/>
        </w:rPr>
        <w:t>The American journal of clinical nutrition</w:t>
      </w:r>
      <w:r w:rsidRPr="0094296D">
        <w:rPr>
          <w:rFonts w:cs="Times New Roman"/>
          <w:noProof/>
          <w:kern w:val="0"/>
          <w:szCs w:val="24"/>
        </w:rPr>
        <w:t>, 78(5), pp. 1011–1017.</w:t>
      </w:r>
    </w:p>
    <w:p w14:paraId="7DB19CAE"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Bahl, R. </w:t>
      </w:r>
      <w:r w:rsidRPr="0094296D">
        <w:rPr>
          <w:rFonts w:cs="Times New Roman"/>
          <w:i/>
          <w:iCs/>
          <w:noProof/>
          <w:kern w:val="0"/>
          <w:szCs w:val="24"/>
        </w:rPr>
        <w:t>et al.</w:t>
      </w:r>
      <w:r w:rsidRPr="0094296D">
        <w:rPr>
          <w:rFonts w:cs="Times New Roman"/>
          <w:noProof/>
          <w:kern w:val="0"/>
          <w:szCs w:val="24"/>
        </w:rPr>
        <w:t xml:space="preserve"> (2002) ‘Efficacy of zinc-fortified oral rehydration solution in 6-to 35-month-old children with acute diarrhea’, </w:t>
      </w:r>
      <w:r w:rsidRPr="0094296D">
        <w:rPr>
          <w:rFonts w:cs="Times New Roman"/>
          <w:i/>
          <w:iCs/>
          <w:noProof/>
          <w:kern w:val="0"/>
          <w:szCs w:val="24"/>
        </w:rPr>
        <w:t>The Journal of pediatrics</w:t>
      </w:r>
      <w:r w:rsidRPr="0094296D">
        <w:rPr>
          <w:rFonts w:cs="Times New Roman"/>
          <w:noProof/>
          <w:kern w:val="0"/>
          <w:szCs w:val="24"/>
        </w:rPr>
        <w:t>, 141(5), pp. 677–682.</w:t>
      </w:r>
    </w:p>
    <w:p w14:paraId="21D4B5AD" w14:textId="3F1084A4"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Bailey, R. L. </w:t>
      </w:r>
      <w:r w:rsidRPr="0094296D">
        <w:rPr>
          <w:rFonts w:cs="Times New Roman"/>
          <w:i/>
          <w:iCs/>
          <w:noProof/>
          <w:kern w:val="0"/>
          <w:szCs w:val="24"/>
        </w:rPr>
        <w:t>et al.</w:t>
      </w:r>
      <w:r w:rsidRPr="0094296D">
        <w:rPr>
          <w:rFonts w:cs="Times New Roman"/>
          <w:noProof/>
          <w:kern w:val="0"/>
          <w:szCs w:val="24"/>
        </w:rPr>
        <w:t xml:space="preserve"> (2012) ‘Do Dietary Supplements Improve Micronutrient Sufficiency in Children and Adolescents?’, </w:t>
      </w:r>
      <w:r w:rsidRPr="0094296D">
        <w:rPr>
          <w:rFonts w:cs="Times New Roman"/>
          <w:i/>
          <w:iCs/>
          <w:noProof/>
          <w:kern w:val="0"/>
          <w:szCs w:val="24"/>
        </w:rPr>
        <w:t>The Journal of Pediatrics</w:t>
      </w:r>
      <w:r w:rsidRPr="0094296D">
        <w:rPr>
          <w:rFonts w:cs="Times New Roman"/>
          <w:noProof/>
          <w:kern w:val="0"/>
          <w:szCs w:val="24"/>
        </w:rPr>
        <w:t xml:space="preserve">, 161(5), pp. 837-842.e3. </w:t>
      </w:r>
    </w:p>
    <w:p w14:paraId="784A6810"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Barton, P., Bryan, S. and Robinson, S. (2004) ‘Modelling in the economic evaluation of health care: selecting the appropriate approach’, </w:t>
      </w:r>
      <w:r w:rsidRPr="0094296D">
        <w:rPr>
          <w:rFonts w:cs="Times New Roman"/>
          <w:i/>
          <w:iCs/>
          <w:noProof/>
          <w:kern w:val="0"/>
          <w:szCs w:val="24"/>
        </w:rPr>
        <w:t>Journal of health services research &amp; policy</w:t>
      </w:r>
      <w:r w:rsidRPr="0094296D">
        <w:rPr>
          <w:rFonts w:cs="Times New Roman"/>
          <w:noProof/>
          <w:kern w:val="0"/>
          <w:szCs w:val="24"/>
        </w:rPr>
        <w:t>, 9(2), pp. 110–118.</w:t>
      </w:r>
    </w:p>
    <w:p w14:paraId="5987332F" w14:textId="77BD5C9E"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Bhutta, Z. A. </w:t>
      </w:r>
      <w:r w:rsidRPr="0094296D">
        <w:rPr>
          <w:rFonts w:cs="Times New Roman"/>
          <w:i/>
          <w:iCs/>
          <w:noProof/>
          <w:kern w:val="0"/>
          <w:szCs w:val="24"/>
        </w:rPr>
        <w:t>et al.</w:t>
      </w:r>
      <w:r w:rsidRPr="0094296D">
        <w:rPr>
          <w:rFonts w:cs="Times New Roman"/>
          <w:noProof/>
          <w:kern w:val="0"/>
          <w:szCs w:val="24"/>
        </w:rPr>
        <w:t xml:space="preserve"> (2013) ‘Evidence-based interventions for improvement of maternal and child nutrition: What can be done and at what cost?’, </w:t>
      </w:r>
      <w:r w:rsidRPr="0094296D">
        <w:rPr>
          <w:rFonts w:cs="Times New Roman"/>
          <w:i/>
          <w:iCs/>
          <w:noProof/>
          <w:kern w:val="0"/>
          <w:szCs w:val="24"/>
        </w:rPr>
        <w:t>The Lancet</w:t>
      </w:r>
      <w:r w:rsidRPr="0094296D">
        <w:rPr>
          <w:rFonts w:cs="Times New Roman"/>
          <w:noProof/>
          <w:kern w:val="0"/>
          <w:szCs w:val="24"/>
        </w:rPr>
        <w:t>, 382(9890), pp. 452–477.</w:t>
      </w:r>
    </w:p>
    <w:p w14:paraId="32C37834"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Black, W. C. (1990) ‘The CE plane: a graphic representation of cost-effectiveness’, </w:t>
      </w:r>
      <w:r w:rsidRPr="0094296D">
        <w:rPr>
          <w:rFonts w:cs="Times New Roman"/>
          <w:i/>
          <w:iCs/>
          <w:noProof/>
          <w:kern w:val="0"/>
          <w:szCs w:val="24"/>
        </w:rPr>
        <w:t>Medical decision making</w:t>
      </w:r>
      <w:r w:rsidRPr="0094296D">
        <w:rPr>
          <w:rFonts w:cs="Times New Roman"/>
          <w:noProof/>
          <w:kern w:val="0"/>
          <w:szCs w:val="24"/>
        </w:rPr>
        <w:t>, 10(3), pp. 212–214.</w:t>
      </w:r>
    </w:p>
    <w:p w14:paraId="0FE72C79"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Butte, N. F. </w:t>
      </w:r>
      <w:r w:rsidRPr="0094296D">
        <w:rPr>
          <w:rFonts w:cs="Times New Roman"/>
          <w:i/>
          <w:iCs/>
          <w:noProof/>
          <w:kern w:val="0"/>
          <w:szCs w:val="24"/>
        </w:rPr>
        <w:t>et al.</w:t>
      </w:r>
      <w:r w:rsidRPr="0094296D">
        <w:rPr>
          <w:rFonts w:cs="Times New Roman"/>
          <w:noProof/>
          <w:kern w:val="0"/>
          <w:szCs w:val="24"/>
        </w:rPr>
        <w:t xml:space="preserve"> (2010) ‘Nutrient intakes of US infants, toddlers, and preschoolers meet or exceed dietary reference intakes’, </w:t>
      </w:r>
      <w:r w:rsidRPr="0094296D">
        <w:rPr>
          <w:rFonts w:cs="Times New Roman"/>
          <w:i/>
          <w:iCs/>
          <w:noProof/>
          <w:kern w:val="0"/>
          <w:szCs w:val="24"/>
        </w:rPr>
        <w:t>Journal of the American Dietetic Association</w:t>
      </w:r>
      <w:r w:rsidRPr="0094296D">
        <w:rPr>
          <w:rFonts w:cs="Times New Roman"/>
          <w:noProof/>
          <w:kern w:val="0"/>
          <w:szCs w:val="24"/>
        </w:rPr>
        <w:t>, 110(12), pp. S27–S37.</w:t>
      </w:r>
    </w:p>
    <w:p w14:paraId="32A1DFAC"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Cai-Jin, Y., Jing-Ying, S. and Gang-Xi, L. (2021) ‘Meta-analysis of zinc deficiency and its influence factors in children under 14-year-old in china’, </w:t>
      </w:r>
      <w:r w:rsidRPr="0094296D">
        <w:rPr>
          <w:rFonts w:cs="Times New Roman"/>
          <w:i/>
          <w:iCs/>
          <w:noProof/>
          <w:kern w:val="0"/>
          <w:szCs w:val="24"/>
        </w:rPr>
        <w:t>J Fam Med</w:t>
      </w:r>
      <w:r w:rsidRPr="0094296D">
        <w:rPr>
          <w:rFonts w:cs="Times New Roman"/>
          <w:noProof/>
          <w:kern w:val="0"/>
          <w:szCs w:val="24"/>
        </w:rPr>
        <w:t>, 8(5), p. 1257.</w:t>
      </w:r>
    </w:p>
    <w:p w14:paraId="070E886E"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Cakmak, I. (2008) ‘Enrichment of cereal grains with zinc: agronomic or genetic biofortification?’, </w:t>
      </w:r>
      <w:r w:rsidRPr="0094296D">
        <w:rPr>
          <w:rFonts w:cs="Times New Roman"/>
          <w:i/>
          <w:iCs/>
          <w:noProof/>
          <w:kern w:val="0"/>
          <w:szCs w:val="24"/>
        </w:rPr>
        <w:t>Plant and soil</w:t>
      </w:r>
      <w:r w:rsidRPr="0094296D">
        <w:rPr>
          <w:rFonts w:cs="Times New Roman"/>
          <w:noProof/>
          <w:kern w:val="0"/>
          <w:szCs w:val="24"/>
        </w:rPr>
        <w:t>, 302(1), pp. 1–17.</w:t>
      </w:r>
    </w:p>
    <w:p w14:paraId="53948740"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Carter, R. </w:t>
      </w:r>
      <w:r w:rsidRPr="0094296D">
        <w:rPr>
          <w:rFonts w:cs="Times New Roman"/>
          <w:i/>
          <w:iCs/>
          <w:noProof/>
          <w:kern w:val="0"/>
          <w:szCs w:val="24"/>
        </w:rPr>
        <w:t>et al.</w:t>
      </w:r>
      <w:r w:rsidRPr="0094296D">
        <w:rPr>
          <w:rFonts w:cs="Times New Roman"/>
          <w:noProof/>
          <w:kern w:val="0"/>
          <w:szCs w:val="24"/>
        </w:rPr>
        <w:t xml:space="preserve"> (2009) ‘Assessing cost-effectiveness in obesity (ACE-obesity): an overview of the ACE approach, economic methods and cost results’, </w:t>
      </w:r>
      <w:r w:rsidRPr="0094296D">
        <w:rPr>
          <w:rFonts w:cs="Times New Roman"/>
          <w:i/>
          <w:iCs/>
          <w:noProof/>
          <w:kern w:val="0"/>
          <w:szCs w:val="24"/>
        </w:rPr>
        <w:t>BMC public health</w:t>
      </w:r>
      <w:r w:rsidRPr="0094296D">
        <w:rPr>
          <w:rFonts w:cs="Times New Roman"/>
          <w:noProof/>
          <w:kern w:val="0"/>
          <w:szCs w:val="24"/>
        </w:rPr>
        <w:t>, 9, pp. 1–11.</w:t>
      </w:r>
    </w:p>
    <w:p w14:paraId="0415914C"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Caswell, J. A. and Jensen, H. H. (2007) ‘Introduction: Economic measures of food safety interventions’, </w:t>
      </w:r>
      <w:r w:rsidRPr="0094296D">
        <w:rPr>
          <w:rFonts w:cs="Times New Roman"/>
          <w:i/>
          <w:iCs/>
          <w:noProof/>
          <w:kern w:val="0"/>
          <w:szCs w:val="24"/>
        </w:rPr>
        <w:t>Agribusiness: An International Journal</w:t>
      </w:r>
      <w:r w:rsidRPr="0094296D">
        <w:rPr>
          <w:rFonts w:cs="Times New Roman"/>
          <w:noProof/>
          <w:kern w:val="0"/>
          <w:szCs w:val="24"/>
        </w:rPr>
        <w:t>. Wiley Online Library, pp. 153–156.</w:t>
      </w:r>
    </w:p>
    <w:p w14:paraId="4A73CB6E" w14:textId="7EE9CACB" w:rsidR="0094296D" w:rsidRPr="0094296D" w:rsidRDefault="00D41F02" w:rsidP="00D41F02">
      <w:pPr>
        <w:autoSpaceDE w:val="0"/>
        <w:autoSpaceDN w:val="0"/>
        <w:adjustRightInd w:val="0"/>
        <w:ind w:firstLine="480"/>
        <w:jc w:val="left"/>
        <w:rPr>
          <w:rFonts w:cs="Times New Roman"/>
          <w:noProof/>
          <w:kern w:val="0"/>
          <w:szCs w:val="24"/>
        </w:rPr>
      </w:pPr>
      <w:r w:rsidRPr="00D41F02">
        <w:rPr>
          <w:rFonts w:cs="Times New Roman"/>
          <w:noProof/>
          <w:kern w:val="0"/>
          <w:szCs w:val="24"/>
        </w:rPr>
        <w:t xml:space="preserve">Caulfield, L. E., &amp; Black, R. E. (2004). Zinc deficiency. In M. Ezzati, A. D. </w:t>
      </w:r>
      <w:r w:rsidRPr="00D41F02">
        <w:rPr>
          <w:rFonts w:cs="Times New Roman"/>
          <w:noProof/>
          <w:kern w:val="0"/>
          <w:szCs w:val="24"/>
        </w:rPr>
        <w:lastRenderedPageBreak/>
        <w:t>Lopez, A. A. Rodgers &amp; C. J. Murray (Eds.),</w:t>
      </w:r>
      <w:r>
        <w:rPr>
          <w:rFonts w:cs="Times New Roman"/>
          <w:noProof/>
          <w:kern w:val="0"/>
          <w:szCs w:val="24"/>
        </w:rPr>
        <w:t xml:space="preserve"> </w:t>
      </w:r>
      <w:r w:rsidRPr="00D41F02">
        <w:rPr>
          <w:rFonts w:cs="Times New Roman"/>
          <w:noProof/>
          <w:kern w:val="0"/>
          <w:szCs w:val="24"/>
        </w:rPr>
        <w:t>Comparative quantification of health risks: Global and regional burden of disease attributable to selected major risk factors</w:t>
      </w:r>
      <w:r>
        <w:rPr>
          <w:rFonts w:cs="Times New Roman"/>
          <w:noProof/>
          <w:kern w:val="0"/>
          <w:szCs w:val="24"/>
        </w:rPr>
        <w:t xml:space="preserve"> </w:t>
      </w:r>
      <w:r w:rsidRPr="00D41F02">
        <w:rPr>
          <w:rFonts w:cs="Times New Roman"/>
          <w:noProof/>
          <w:kern w:val="0"/>
          <w:szCs w:val="24"/>
        </w:rPr>
        <w:t>(pp. 257–280). World Health Organization</w:t>
      </w:r>
      <w:r w:rsidR="0094296D" w:rsidRPr="0094296D">
        <w:rPr>
          <w:rFonts w:cs="Times New Roman"/>
          <w:noProof/>
          <w:kern w:val="0"/>
          <w:szCs w:val="24"/>
        </w:rPr>
        <w:t>.</w:t>
      </w:r>
    </w:p>
    <w:p w14:paraId="575004FD" w14:textId="36971FD2"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Chege, C. G. K., Andersson, C. I. M. and Qaim, M. (2015) ‘Impacts of Supermarkets on Farm Household Nutrition in Kenya’, </w:t>
      </w:r>
      <w:r w:rsidRPr="0094296D">
        <w:rPr>
          <w:rFonts w:cs="Times New Roman"/>
          <w:i/>
          <w:iCs/>
          <w:noProof/>
          <w:kern w:val="0"/>
          <w:szCs w:val="24"/>
        </w:rPr>
        <w:t>World Development</w:t>
      </w:r>
      <w:r w:rsidRPr="0094296D">
        <w:rPr>
          <w:rFonts w:cs="Times New Roman"/>
          <w:noProof/>
          <w:kern w:val="0"/>
          <w:szCs w:val="24"/>
        </w:rPr>
        <w:t>, 72, pp. 394–407.</w:t>
      </w:r>
    </w:p>
    <w:p w14:paraId="4D632212" w14:textId="77777777" w:rsidR="00D41F02" w:rsidRPr="00D41F02" w:rsidRDefault="00D41F02" w:rsidP="00D41F02">
      <w:pPr>
        <w:autoSpaceDE w:val="0"/>
        <w:autoSpaceDN w:val="0"/>
        <w:adjustRightInd w:val="0"/>
        <w:ind w:firstLine="480"/>
        <w:jc w:val="left"/>
        <w:rPr>
          <w:rFonts w:cs="Times New Roman"/>
          <w:noProof/>
          <w:kern w:val="0"/>
          <w:szCs w:val="24"/>
        </w:rPr>
      </w:pPr>
      <w:r w:rsidRPr="00D41F02">
        <w:rPr>
          <w:rFonts w:cs="Times New Roman"/>
          <w:noProof/>
          <w:kern w:val="0"/>
          <w:szCs w:val="24"/>
        </w:rPr>
        <w:t>China, C. D. C. (2020). Report on Chinese residents' chronic diseases and nutrition.</w:t>
      </w:r>
    </w:p>
    <w:p w14:paraId="0EE36FA3" w14:textId="1D99A976" w:rsidR="00D41F02" w:rsidRPr="00D41F02" w:rsidRDefault="00D41F02" w:rsidP="00D41F02">
      <w:pPr>
        <w:autoSpaceDE w:val="0"/>
        <w:autoSpaceDN w:val="0"/>
        <w:adjustRightInd w:val="0"/>
        <w:ind w:firstLine="480"/>
        <w:jc w:val="left"/>
        <w:rPr>
          <w:rFonts w:cs="Times New Roman"/>
          <w:noProof/>
          <w:kern w:val="0"/>
          <w:szCs w:val="24"/>
        </w:rPr>
      </w:pPr>
      <w:r w:rsidRPr="00D41F02">
        <w:rPr>
          <w:rFonts w:cs="Times New Roman"/>
          <w:noProof/>
          <w:kern w:val="0"/>
          <w:szCs w:val="24"/>
        </w:rPr>
        <w:t>China National Children's Center. (2020). Lixin Yuan (Ed.) Annual Report on Chinese Children's Development (2020). Social</w:t>
      </w:r>
      <w:r>
        <w:rPr>
          <w:rFonts w:cs="Times New Roman"/>
          <w:noProof/>
          <w:kern w:val="0"/>
          <w:szCs w:val="24"/>
        </w:rPr>
        <w:t xml:space="preserve"> </w:t>
      </w:r>
      <w:r w:rsidRPr="00D41F02">
        <w:rPr>
          <w:rFonts w:cs="Times New Roman"/>
          <w:noProof/>
          <w:kern w:val="0"/>
          <w:szCs w:val="24"/>
        </w:rPr>
        <w:t>Sciences Academic Press.</w:t>
      </w:r>
    </w:p>
    <w:p w14:paraId="27C0D906" w14:textId="77777777" w:rsidR="00D41F02" w:rsidRDefault="00D41F02" w:rsidP="00D41F02">
      <w:pPr>
        <w:autoSpaceDE w:val="0"/>
        <w:autoSpaceDN w:val="0"/>
        <w:adjustRightInd w:val="0"/>
        <w:ind w:firstLine="480"/>
        <w:jc w:val="left"/>
        <w:rPr>
          <w:rFonts w:cs="Times New Roman"/>
          <w:noProof/>
          <w:kern w:val="0"/>
          <w:szCs w:val="24"/>
        </w:rPr>
      </w:pPr>
      <w:r w:rsidRPr="00D41F02">
        <w:rPr>
          <w:rFonts w:cs="Times New Roman"/>
          <w:noProof/>
          <w:kern w:val="0"/>
          <w:szCs w:val="24"/>
        </w:rPr>
        <w:t>China National Grain &amp; Oils Information Center. (2022). The acquisition of summer grain crops. http://www.grainoil.com.cn/ChannelPolicies/99425.jhtml</w:t>
      </w:r>
    </w:p>
    <w:p w14:paraId="24F9F3E7" w14:textId="0DF915AA" w:rsidR="0094296D" w:rsidRPr="0094296D" w:rsidRDefault="0094296D" w:rsidP="00D41F02">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Dainelli, L. </w:t>
      </w:r>
      <w:r w:rsidRPr="0094296D">
        <w:rPr>
          <w:rFonts w:cs="Times New Roman"/>
          <w:i/>
          <w:iCs/>
          <w:noProof/>
          <w:kern w:val="0"/>
          <w:szCs w:val="24"/>
        </w:rPr>
        <w:t>et al.</w:t>
      </w:r>
      <w:r w:rsidRPr="0094296D">
        <w:rPr>
          <w:rFonts w:cs="Times New Roman"/>
          <w:noProof/>
          <w:kern w:val="0"/>
          <w:szCs w:val="24"/>
        </w:rPr>
        <w:t xml:space="preserve"> (2017) ‘Cost-effectiveness of milk powder fortified with potassium to decrease blood pressure and prevent cardiovascular events among the adult population in China : a Markov model’, pp. 1–11. </w:t>
      </w:r>
    </w:p>
    <w:p w14:paraId="240EB0D3" w14:textId="77777777" w:rsid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Deshpande, J. D., Joshi, M. M. and Giri, P. A. (2013) ‘Zinc: The trace element of major importance in human nutrition and health’, </w:t>
      </w:r>
      <w:r w:rsidRPr="0094296D">
        <w:rPr>
          <w:rFonts w:cs="Times New Roman"/>
          <w:i/>
          <w:iCs/>
          <w:noProof/>
          <w:kern w:val="0"/>
          <w:szCs w:val="24"/>
        </w:rPr>
        <w:t>International Journal of Medical Science and Public Health</w:t>
      </w:r>
      <w:r w:rsidRPr="0094296D">
        <w:rPr>
          <w:rFonts w:cs="Times New Roman"/>
          <w:noProof/>
          <w:kern w:val="0"/>
          <w:szCs w:val="24"/>
        </w:rPr>
        <w:t>, 2(1), pp. 1–6.</w:t>
      </w:r>
    </w:p>
    <w:p w14:paraId="63067E9F" w14:textId="518AC6E9" w:rsidR="00D41F02" w:rsidRPr="00D41F02" w:rsidRDefault="00D41F02" w:rsidP="00D41F02">
      <w:pPr>
        <w:autoSpaceDE w:val="0"/>
        <w:autoSpaceDN w:val="0"/>
        <w:adjustRightInd w:val="0"/>
        <w:ind w:firstLine="480"/>
        <w:jc w:val="left"/>
        <w:rPr>
          <w:rFonts w:cs="Times New Roman"/>
          <w:noProof/>
          <w:kern w:val="0"/>
          <w:szCs w:val="24"/>
        </w:rPr>
      </w:pPr>
      <w:r w:rsidRPr="00D41F02">
        <w:rPr>
          <w:rFonts w:cs="Times New Roman"/>
          <w:noProof/>
          <w:kern w:val="0"/>
          <w:szCs w:val="24"/>
        </w:rPr>
        <w:t>De Steur, H., Blancquaert, D., Strobbe, S., Lambert, W., Gellynck, X., &amp; Van Der Straeten, D. (2015). Status and market</w:t>
      </w:r>
      <w:r>
        <w:rPr>
          <w:rFonts w:cs="Times New Roman"/>
          <w:noProof/>
          <w:kern w:val="0"/>
          <w:szCs w:val="24"/>
        </w:rPr>
        <w:t xml:space="preserve"> </w:t>
      </w:r>
      <w:r w:rsidRPr="00D41F02">
        <w:rPr>
          <w:rFonts w:cs="Times New Roman"/>
          <w:noProof/>
          <w:kern w:val="0"/>
          <w:szCs w:val="24"/>
        </w:rPr>
        <w:t>potential of transgenic biofortified crops. Nature Biotechnology, 33(1), 25–29.</w:t>
      </w:r>
    </w:p>
    <w:p w14:paraId="76748A6A" w14:textId="21F2BDFE" w:rsidR="00D41F02" w:rsidRPr="00D41F02" w:rsidRDefault="00D41F02" w:rsidP="00D41F02">
      <w:pPr>
        <w:autoSpaceDE w:val="0"/>
        <w:autoSpaceDN w:val="0"/>
        <w:adjustRightInd w:val="0"/>
        <w:ind w:firstLine="480"/>
        <w:jc w:val="left"/>
        <w:rPr>
          <w:rFonts w:cs="Times New Roman"/>
          <w:noProof/>
          <w:kern w:val="0"/>
          <w:szCs w:val="24"/>
        </w:rPr>
      </w:pPr>
      <w:r w:rsidRPr="00D41F02">
        <w:rPr>
          <w:rFonts w:cs="Times New Roman"/>
          <w:noProof/>
          <w:kern w:val="0"/>
          <w:szCs w:val="24"/>
        </w:rPr>
        <w:t>De Steur, H., Buysse, J., Feng, S., &amp; Gellynck, X. (2013). Role of information on consumers' willingness</w:t>
      </w:r>
      <w:r w:rsidRPr="00D41F02">
        <w:rPr>
          <w:rFonts w:cs="Times New Roman" w:hint="eastAsia"/>
          <w:noProof/>
          <w:kern w:val="0"/>
          <w:szCs w:val="24"/>
        </w:rPr>
        <w:t>‐</w:t>
      </w:r>
      <w:r w:rsidRPr="00D41F02">
        <w:rPr>
          <w:rFonts w:cs="Times New Roman"/>
          <w:noProof/>
          <w:kern w:val="0"/>
          <w:szCs w:val="24"/>
        </w:rPr>
        <w:t>to</w:t>
      </w:r>
      <w:r w:rsidRPr="00D41F02">
        <w:rPr>
          <w:rFonts w:cs="Times New Roman" w:hint="eastAsia"/>
          <w:noProof/>
          <w:kern w:val="0"/>
          <w:szCs w:val="24"/>
        </w:rPr>
        <w:t>‐</w:t>
      </w:r>
      <w:r w:rsidRPr="00D41F02">
        <w:rPr>
          <w:rFonts w:cs="Times New Roman"/>
          <w:noProof/>
          <w:kern w:val="0"/>
          <w:szCs w:val="24"/>
        </w:rPr>
        <w:t>pay for</w:t>
      </w:r>
      <w:r>
        <w:rPr>
          <w:rFonts w:cs="Times New Roman"/>
          <w:noProof/>
          <w:kern w:val="0"/>
          <w:szCs w:val="24"/>
        </w:rPr>
        <w:t xml:space="preserve"> </w:t>
      </w:r>
      <w:r w:rsidRPr="00D41F02">
        <w:rPr>
          <w:rFonts w:cs="Times New Roman"/>
          <w:noProof/>
          <w:kern w:val="0"/>
          <w:szCs w:val="24"/>
        </w:rPr>
        <w:t>genetically</w:t>
      </w:r>
      <w:r w:rsidRPr="00D41F02">
        <w:rPr>
          <w:rFonts w:cs="Times New Roman" w:hint="eastAsia"/>
          <w:noProof/>
          <w:kern w:val="0"/>
          <w:szCs w:val="24"/>
        </w:rPr>
        <w:t>‐</w:t>
      </w:r>
      <w:r w:rsidRPr="00D41F02">
        <w:rPr>
          <w:rFonts w:cs="Times New Roman"/>
          <w:noProof/>
          <w:kern w:val="0"/>
          <w:szCs w:val="24"/>
        </w:rPr>
        <w:t>modified rice with health benefits: An application to China. Asian Economic Journal, 27(4), 391–408.</w:t>
      </w:r>
    </w:p>
    <w:p w14:paraId="40832135" w14:textId="36CA6BC5" w:rsidR="00D41F02" w:rsidRPr="00D41F02" w:rsidRDefault="00D41F02" w:rsidP="00D41F02">
      <w:pPr>
        <w:autoSpaceDE w:val="0"/>
        <w:autoSpaceDN w:val="0"/>
        <w:adjustRightInd w:val="0"/>
        <w:ind w:firstLine="480"/>
        <w:jc w:val="left"/>
        <w:rPr>
          <w:rFonts w:cs="Times New Roman"/>
          <w:noProof/>
          <w:kern w:val="0"/>
          <w:szCs w:val="24"/>
        </w:rPr>
      </w:pPr>
      <w:r w:rsidRPr="00D41F02">
        <w:rPr>
          <w:rFonts w:cs="Times New Roman"/>
          <w:noProof/>
          <w:kern w:val="0"/>
          <w:szCs w:val="24"/>
        </w:rPr>
        <w:t>De Steur, H., Feng, S., Xiaoping, S., &amp; Gellynck, X. (2014). Consumer preferences for micronutrient strategies in China. A</w:t>
      </w:r>
      <w:r>
        <w:rPr>
          <w:rFonts w:cs="Times New Roman"/>
          <w:noProof/>
          <w:kern w:val="0"/>
          <w:szCs w:val="24"/>
        </w:rPr>
        <w:t xml:space="preserve"> </w:t>
      </w:r>
      <w:r w:rsidRPr="00D41F02">
        <w:rPr>
          <w:rFonts w:cs="Times New Roman"/>
          <w:noProof/>
          <w:kern w:val="0"/>
          <w:szCs w:val="24"/>
        </w:rPr>
        <w:t>comparison between folic acid supplementation and folate biofortification. Public Health Nutrition, 17(6), 1410–1420.</w:t>
      </w:r>
    </w:p>
    <w:p w14:paraId="19D637A4" w14:textId="349F3843" w:rsidR="00D41F02" w:rsidRPr="00D41F02" w:rsidRDefault="00D41F02" w:rsidP="00D41F02">
      <w:pPr>
        <w:autoSpaceDE w:val="0"/>
        <w:autoSpaceDN w:val="0"/>
        <w:adjustRightInd w:val="0"/>
        <w:ind w:firstLine="480"/>
        <w:jc w:val="left"/>
        <w:rPr>
          <w:rFonts w:cs="Times New Roman"/>
          <w:noProof/>
          <w:kern w:val="0"/>
          <w:szCs w:val="24"/>
        </w:rPr>
      </w:pPr>
      <w:r w:rsidRPr="00D41F02">
        <w:rPr>
          <w:rFonts w:cs="Times New Roman"/>
          <w:noProof/>
          <w:kern w:val="0"/>
          <w:szCs w:val="24"/>
        </w:rPr>
        <w:t>De Steur, H., Gellynck, X., Blancquaert, D., Lambert, W., Van Der Straeten, D., &amp; Qaim, M. (2012). Potential impact and</w:t>
      </w:r>
      <w:r>
        <w:rPr>
          <w:rFonts w:cs="Times New Roman"/>
          <w:noProof/>
          <w:kern w:val="0"/>
          <w:szCs w:val="24"/>
        </w:rPr>
        <w:t xml:space="preserve"> </w:t>
      </w:r>
      <w:r w:rsidRPr="00D41F02">
        <w:rPr>
          <w:rFonts w:cs="Times New Roman"/>
          <w:noProof/>
          <w:kern w:val="0"/>
          <w:szCs w:val="24"/>
        </w:rPr>
        <w:t>cost</w:t>
      </w:r>
      <w:r w:rsidRPr="00D41F02">
        <w:rPr>
          <w:rFonts w:cs="Times New Roman" w:hint="eastAsia"/>
          <w:noProof/>
          <w:kern w:val="0"/>
          <w:szCs w:val="24"/>
        </w:rPr>
        <w:t>‐</w:t>
      </w:r>
      <w:r w:rsidRPr="00D41F02">
        <w:rPr>
          <w:rFonts w:cs="Times New Roman"/>
          <w:noProof/>
          <w:kern w:val="0"/>
          <w:szCs w:val="24"/>
        </w:rPr>
        <w:t>effectiveness of multi</w:t>
      </w:r>
      <w:r w:rsidRPr="00D41F02">
        <w:rPr>
          <w:rFonts w:cs="Times New Roman" w:hint="eastAsia"/>
          <w:noProof/>
          <w:kern w:val="0"/>
          <w:szCs w:val="24"/>
        </w:rPr>
        <w:t>‐</w:t>
      </w:r>
      <w:r w:rsidRPr="00D41F02">
        <w:rPr>
          <w:rFonts w:cs="Times New Roman"/>
          <w:noProof/>
          <w:kern w:val="0"/>
          <w:szCs w:val="24"/>
        </w:rPr>
        <w:t>biofortified rice in China. New Biotechnology, 29(3), 432–442.</w:t>
      </w:r>
    </w:p>
    <w:p w14:paraId="7882B52C" w14:textId="03207288" w:rsidR="00D41F02" w:rsidRPr="00D41F02" w:rsidRDefault="00D41F02" w:rsidP="00D41F02">
      <w:pPr>
        <w:autoSpaceDE w:val="0"/>
        <w:autoSpaceDN w:val="0"/>
        <w:adjustRightInd w:val="0"/>
        <w:ind w:firstLine="480"/>
        <w:jc w:val="left"/>
        <w:rPr>
          <w:rFonts w:cs="Times New Roman"/>
          <w:noProof/>
          <w:kern w:val="0"/>
          <w:szCs w:val="24"/>
        </w:rPr>
      </w:pPr>
      <w:r w:rsidRPr="00D41F02">
        <w:rPr>
          <w:rFonts w:cs="Times New Roman"/>
          <w:noProof/>
          <w:kern w:val="0"/>
          <w:szCs w:val="24"/>
        </w:rPr>
        <w:t>De Steur, H., Gellynck, X., Storozhenko, S., Liqun, G., Lambert, W., Van Der Straeten, D., &amp; Viaene, J. (2010a). Health impact</w:t>
      </w:r>
      <w:r>
        <w:rPr>
          <w:rFonts w:cs="Times New Roman"/>
          <w:noProof/>
          <w:kern w:val="0"/>
          <w:szCs w:val="24"/>
        </w:rPr>
        <w:t xml:space="preserve"> </w:t>
      </w:r>
      <w:r w:rsidRPr="00D41F02">
        <w:rPr>
          <w:rFonts w:cs="Times New Roman"/>
          <w:noProof/>
          <w:kern w:val="0"/>
          <w:szCs w:val="24"/>
        </w:rPr>
        <w:t>in China of folate</w:t>
      </w:r>
      <w:r w:rsidRPr="00D41F02">
        <w:rPr>
          <w:rFonts w:cs="Times New Roman" w:hint="eastAsia"/>
          <w:noProof/>
          <w:kern w:val="0"/>
          <w:szCs w:val="24"/>
        </w:rPr>
        <w:t>‐</w:t>
      </w:r>
      <w:r w:rsidRPr="00D41F02">
        <w:rPr>
          <w:rFonts w:cs="Times New Roman"/>
          <w:noProof/>
          <w:kern w:val="0"/>
          <w:szCs w:val="24"/>
        </w:rPr>
        <w:t>biofortified rice. Nature Biotechnology, 28(6), 554–556.</w:t>
      </w:r>
    </w:p>
    <w:p w14:paraId="5ED013C6" w14:textId="0DA3B76F" w:rsidR="00D41F02" w:rsidRPr="0094296D" w:rsidRDefault="00D41F02" w:rsidP="00D41F02">
      <w:pPr>
        <w:autoSpaceDE w:val="0"/>
        <w:autoSpaceDN w:val="0"/>
        <w:adjustRightInd w:val="0"/>
        <w:ind w:firstLine="480"/>
        <w:jc w:val="left"/>
        <w:rPr>
          <w:rFonts w:cs="Times New Roman"/>
          <w:noProof/>
          <w:kern w:val="0"/>
          <w:szCs w:val="24"/>
        </w:rPr>
      </w:pPr>
      <w:r w:rsidRPr="00D41F02">
        <w:rPr>
          <w:rFonts w:cs="Times New Roman"/>
          <w:noProof/>
          <w:kern w:val="0"/>
          <w:szCs w:val="24"/>
        </w:rPr>
        <w:t>De Steur, H., Gellynck, X., Storozhenko, S., Liqun, G., Lambert, W., Van Der Straeten, D., &amp; Viaene, J. (2010b). Willingness</w:t>
      </w:r>
      <w:r>
        <w:rPr>
          <w:rFonts w:cs="Times New Roman"/>
          <w:noProof/>
          <w:kern w:val="0"/>
          <w:szCs w:val="24"/>
        </w:rPr>
        <w:t>-</w:t>
      </w:r>
      <w:r w:rsidRPr="00D41F02">
        <w:rPr>
          <w:rFonts w:cs="Times New Roman"/>
          <w:noProof/>
          <w:kern w:val="0"/>
          <w:szCs w:val="24"/>
        </w:rPr>
        <w:t>to</w:t>
      </w:r>
      <w:r w:rsidRPr="00D41F02">
        <w:rPr>
          <w:rFonts w:cs="Times New Roman" w:hint="eastAsia"/>
          <w:noProof/>
          <w:kern w:val="0"/>
          <w:szCs w:val="24"/>
        </w:rPr>
        <w:t>‐</w:t>
      </w:r>
      <w:r w:rsidRPr="00D41F02">
        <w:rPr>
          <w:rFonts w:cs="Times New Roman"/>
          <w:noProof/>
          <w:kern w:val="0"/>
          <w:szCs w:val="24"/>
        </w:rPr>
        <w:t>accept and purchase genetically modified rice with high folate content in Shanxi Province, China. Appetite, 54(1),</w:t>
      </w:r>
      <w:r>
        <w:rPr>
          <w:rFonts w:cs="Times New Roman"/>
          <w:noProof/>
          <w:kern w:val="0"/>
          <w:szCs w:val="24"/>
        </w:rPr>
        <w:t xml:space="preserve"> </w:t>
      </w:r>
      <w:r w:rsidRPr="00D41F02">
        <w:rPr>
          <w:rFonts w:cs="Times New Roman"/>
          <w:noProof/>
          <w:kern w:val="0"/>
          <w:szCs w:val="24"/>
        </w:rPr>
        <w:t>118–125.</w:t>
      </w:r>
    </w:p>
    <w:p w14:paraId="62A24234"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Fink, G. and Heitner, J. (2014) ‘Evaluating the cost-effectiveness of preventive zinc supplementation’, </w:t>
      </w:r>
      <w:r w:rsidRPr="0094296D">
        <w:rPr>
          <w:rFonts w:cs="Times New Roman"/>
          <w:i/>
          <w:iCs/>
          <w:noProof/>
          <w:kern w:val="0"/>
          <w:szCs w:val="24"/>
        </w:rPr>
        <w:t>BMC Public Health</w:t>
      </w:r>
      <w:r w:rsidRPr="0094296D">
        <w:rPr>
          <w:rFonts w:cs="Times New Roman"/>
          <w:noProof/>
          <w:kern w:val="0"/>
          <w:szCs w:val="24"/>
        </w:rPr>
        <w:t>, 14(1), pp. 1–10.</w:t>
      </w:r>
    </w:p>
    <w:p w14:paraId="05D29D89"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Fischer, C. and Harvey, P. (2005) ‘Low risk of adverse effects from zinc supplementation’, </w:t>
      </w:r>
      <w:r w:rsidRPr="0094296D">
        <w:rPr>
          <w:rFonts w:cs="Times New Roman"/>
          <w:i/>
          <w:iCs/>
          <w:noProof/>
          <w:kern w:val="0"/>
          <w:szCs w:val="24"/>
        </w:rPr>
        <w:t>The USAID Micronutrient Program</w:t>
      </w:r>
      <w:r w:rsidRPr="0094296D">
        <w:rPr>
          <w:rFonts w:cs="Times New Roman"/>
          <w:noProof/>
          <w:kern w:val="0"/>
          <w:szCs w:val="24"/>
        </w:rPr>
        <w:t>, pp. 1–5.</w:t>
      </w:r>
    </w:p>
    <w:p w14:paraId="7BF23FAC"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lastRenderedPageBreak/>
        <w:t xml:space="preserve">Flynn, A. </w:t>
      </w:r>
      <w:r w:rsidRPr="0094296D">
        <w:rPr>
          <w:rFonts w:cs="Times New Roman"/>
          <w:i/>
          <w:iCs/>
          <w:noProof/>
          <w:kern w:val="0"/>
          <w:szCs w:val="24"/>
        </w:rPr>
        <w:t>et al.</w:t>
      </w:r>
      <w:r w:rsidRPr="0094296D">
        <w:rPr>
          <w:rFonts w:cs="Times New Roman"/>
          <w:noProof/>
          <w:kern w:val="0"/>
          <w:szCs w:val="24"/>
        </w:rPr>
        <w:t xml:space="preserve"> (2009) ‘Intake of selected nutrients from foods, from fortification and from supplements in various European countries’, </w:t>
      </w:r>
      <w:r w:rsidRPr="0094296D">
        <w:rPr>
          <w:rFonts w:cs="Times New Roman"/>
          <w:i/>
          <w:iCs/>
          <w:noProof/>
          <w:kern w:val="0"/>
          <w:szCs w:val="24"/>
        </w:rPr>
        <w:t>Food &amp; Nutrition Research</w:t>
      </w:r>
      <w:r w:rsidRPr="0094296D">
        <w:rPr>
          <w:rFonts w:cs="Times New Roman"/>
          <w:noProof/>
          <w:kern w:val="0"/>
          <w:szCs w:val="24"/>
        </w:rPr>
        <w:t>, 53(1), p. 2038.</w:t>
      </w:r>
    </w:p>
    <w:p w14:paraId="17819E73"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Fulgoni III, V. L. </w:t>
      </w:r>
      <w:r w:rsidRPr="0094296D">
        <w:rPr>
          <w:rFonts w:cs="Times New Roman"/>
          <w:i/>
          <w:iCs/>
          <w:noProof/>
          <w:kern w:val="0"/>
          <w:szCs w:val="24"/>
        </w:rPr>
        <w:t>et al.</w:t>
      </w:r>
      <w:r w:rsidRPr="0094296D">
        <w:rPr>
          <w:rFonts w:cs="Times New Roman"/>
          <w:noProof/>
          <w:kern w:val="0"/>
          <w:szCs w:val="24"/>
        </w:rPr>
        <w:t xml:space="preserve"> (2011) ‘Foods, fortificants, and supplements: where do Americans get their nutrients?’, </w:t>
      </w:r>
      <w:r w:rsidRPr="0094296D">
        <w:rPr>
          <w:rFonts w:cs="Times New Roman"/>
          <w:i/>
          <w:iCs/>
          <w:noProof/>
          <w:kern w:val="0"/>
          <w:szCs w:val="24"/>
        </w:rPr>
        <w:t>The Journal of nutrition</w:t>
      </w:r>
      <w:r w:rsidRPr="0094296D">
        <w:rPr>
          <w:rFonts w:cs="Times New Roman"/>
          <w:noProof/>
          <w:kern w:val="0"/>
          <w:szCs w:val="24"/>
        </w:rPr>
        <w:t>, 141(10), pp. 1847–1854.</w:t>
      </w:r>
    </w:p>
    <w:p w14:paraId="62A86A15"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Gibson, R. S. </w:t>
      </w:r>
      <w:r w:rsidRPr="0094296D">
        <w:rPr>
          <w:rFonts w:cs="Times New Roman"/>
          <w:i/>
          <w:iCs/>
          <w:noProof/>
          <w:kern w:val="0"/>
          <w:szCs w:val="24"/>
        </w:rPr>
        <w:t>et al.</w:t>
      </w:r>
      <w:r w:rsidRPr="0094296D">
        <w:rPr>
          <w:rFonts w:cs="Times New Roman"/>
          <w:noProof/>
          <w:kern w:val="0"/>
          <w:szCs w:val="24"/>
        </w:rPr>
        <w:t xml:space="preserve"> (2008) ‘Indicators of zinc status at the population level: a review of the evidence’, </w:t>
      </w:r>
      <w:r w:rsidRPr="0094296D">
        <w:rPr>
          <w:rFonts w:cs="Times New Roman"/>
          <w:i/>
          <w:iCs/>
          <w:noProof/>
          <w:kern w:val="0"/>
          <w:szCs w:val="24"/>
        </w:rPr>
        <w:t>British Journal of Nutrition</w:t>
      </w:r>
      <w:r w:rsidRPr="0094296D">
        <w:rPr>
          <w:rFonts w:cs="Times New Roman"/>
          <w:noProof/>
          <w:kern w:val="0"/>
          <w:szCs w:val="24"/>
        </w:rPr>
        <w:t>, 99(S3), pp. S14–S23.</w:t>
      </w:r>
    </w:p>
    <w:p w14:paraId="71FA8C54"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González, C., García, J. and Johnson, N. (2009) ‘Stakeholder positions toward GM food: the case of Vitamin A biofortified cassava in Brazil’, </w:t>
      </w:r>
      <w:r w:rsidRPr="0094296D">
        <w:rPr>
          <w:rFonts w:cs="Times New Roman"/>
          <w:i/>
          <w:iCs/>
          <w:noProof/>
          <w:kern w:val="0"/>
          <w:szCs w:val="24"/>
        </w:rPr>
        <w:t>AgBioForum</w:t>
      </w:r>
      <w:r w:rsidRPr="0094296D">
        <w:rPr>
          <w:rFonts w:cs="Times New Roman"/>
          <w:noProof/>
          <w:kern w:val="0"/>
          <w:szCs w:val="24"/>
        </w:rPr>
        <w:t>, 12(3/4), pp. 382–39.</w:t>
      </w:r>
    </w:p>
    <w:p w14:paraId="33E67784"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Haacker, M., Hallett, T. B. and Atun, R. (2020) ‘On time horizons in health economic evaluations’, </w:t>
      </w:r>
      <w:r w:rsidRPr="0094296D">
        <w:rPr>
          <w:rFonts w:cs="Times New Roman"/>
          <w:i/>
          <w:iCs/>
          <w:noProof/>
          <w:kern w:val="0"/>
          <w:szCs w:val="24"/>
        </w:rPr>
        <w:t>Health Policy and Planning</w:t>
      </w:r>
      <w:r w:rsidRPr="0094296D">
        <w:rPr>
          <w:rFonts w:cs="Times New Roman"/>
          <w:noProof/>
          <w:kern w:val="0"/>
          <w:szCs w:val="24"/>
        </w:rPr>
        <w:t>, 35(9), pp. 1237–1243.</w:t>
      </w:r>
    </w:p>
    <w:p w14:paraId="2B83C651"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Hambidge, K. M. and Krebs, N. F. (2007) ‘Zinc deficiency: a special challenge’, </w:t>
      </w:r>
      <w:r w:rsidRPr="0094296D">
        <w:rPr>
          <w:rFonts w:cs="Times New Roman"/>
          <w:i/>
          <w:iCs/>
          <w:noProof/>
          <w:kern w:val="0"/>
          <w:szCs w:val="24"/>
        </w:rPr>
        <w:t>The Journal of nutrition</w:t>
      </w:r>
      <w:r w:rsidRPr="0094296D">
        <w:rPr>
          <w:rFonts w:cs="Times New Roman"/>
          <w:noProof/>
          <w:kern w:val="0"/>
          <w:szCs w:val="24"/>
        </w:rPr>
        <w:t>, 137(4), pp. 1101–1105.</w:t>
      </w:r>
    </w:p>
    <w:p w14:paraId="795BD036"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Headey, D. </w:t>
      </w:r>
      <w:r w:rsidRPr="0094296D">
        <w:rPr>
          <w:rFonts w:cs="Times New Roman"/>
          <w:i/>
          <w:iCs/>
          <w:noProof/>
          <w:kern w:val="0"/>
          <w:szCs w:val="24"/>
        </w:rPr>
        <w:t>et al.</w:t>
      </w:r>
      <w:r w:rsidRPr="0094296D">
        <w:rPr>
          <w:rFonts w:cs="Times New Roman"/>
          <w:noProof/>
          <w:kern w:val="0"/>
          <w:szCs w:val="24"/>
        </w:rPr>
        <w:t xml:space="preserve"> (2019) ‘Rural food markets and child nutrition’. Wiley Online Library.</w:t>
      </w:r>
    </w:p>
    <w:p w14:paraId="524FB010"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Hess, S. Y. </w:t>
      </w:r>
      <w:r w:rsidRPr="0094296D">
        <w:rPr>
          <w:rFonts w:cs="Times New Roman"/>
          <w:i/>
          <w:iCs/>
          <w:noProof/>
          <w:kern w:val="0"/>
          <w:szCs w:val="24"/>
        </w:rPr>
        <w:t>et al.</w:t>
      </w:r>
      <w:r w:rsidRPr="0094296D">
        <w:rPr>
          <w:rFonts w:cs="Times New Roman"/>
          <w:noProof/>
          <w:kern w:val="0"/>
          <w:szCs w:val="24"/>
        </w:rPr>
        <w:t xml:space="preserve"> (2007) ‘Use of serum zinc concentration as an indicator of population zinc status’, </w:t>
      </w:r>
      <w:r w:rsidRPr="0094296D">
        <w:rPr>
          <w:rFonts w:cs="Times New Roman"/>
          <w:i/>
          <w:iCs/>
          <w:noProof/>
          <w:kern w:val="0"/>
          <w:szCs w:val="24"/>
        </w:rPr>
        <w:t>Food and nutrition bulletin</w:t>
      </w:r>
      <w:r w:rsidRPr="0094296D">
        <w:rPr>
          <w:rFonts w:cs="Times New Roman"/>
          <w:noProof/>
          <w:kern w:val="0"/>
          <w:szCs w:val="24"/>
        </w:rPr>
        <w:t>, 28(3_suppl3), pp. S403–S429.</w:t>
      </w:r>
    </w:p>
    <w:p w14:paraId="562226CF"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Hillebrandt, H. and Engelbert, M. (2015) </w:t>
      </w:r>
      <w:r w:rsidRPr="0094296D">
        <w:rPr>
          <w:rFonts w:cs="Times New Roman"/>
          <w:i/>
          <w:iCs/>
          <w:noProof/>
          <w:kern w:val="0"/>
          <w:szCs w:val="24"/>
        </w:rPr>
        <w:t>Micronutrient Fortification</w:t>
      </w:r>
      <w:r w:rsidRPr="0094296D">
        <w:rPr>
          <w:rFonts w:cs="Times New Roman"/>
          <w:noProof/>
          <w:kern w:val="0"/>
          <w:szCs w:val="24"/>
        </w:rPr>
        <w:t>. Available at: https://www.givingwhatwecan.org/report/micronutrient-fortification/#6-is-biofortification-more-effective-than-industrial-fortification.</w:t>
      </w:r>
    </w:p>
    <w:p w14:paraId="7737BA99"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Horton, S. (2006) ‘The economics of food fortification’, </w:t>
      </w:r>
      <w:r w:rsidRPr="0094296D">
        <w:rPr>
          <w:rFonts w:cs="Times New Roman"/>
          <w:i/>
          <w:iCs/>
          <w:noProof/>
          <w:kern w:val="0"/>
          <w:szCs w:val="24"/>
        </w:rPr>
        <w:t>The Journal of nutrition</w:t>
      </w:r>
      <w:r w:rsidRPr="0094296D">
        <w:rPr>
          <w:rFonts w:cs="Times New Roman"/>
          <w:noProof/>
          <w:kern w:val="0"/>
          <w:szCs w:val="24"/>
        </w:rPr>
        <w:t>, 136(4), pp. 1068–1071.</w:t>
      </w:r>
    </w:p>
    <w:p w14:paraId="2FFE72E6"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Hotz, C. (2001) ‘Identifying populations at risk of zinc deficiency: the use of supplementation trials’, </w:t>
      </w:r>
      <w:r w:rsidRPr="0094296D">
        <w:rPr>
          <w:rFonts w:cs="Times New Roman"/>
          <w:i/>
          <w:iCs/>
          <w:noProof/>
          <w:kern w:val="0"/>
          <w:szCs w:val="24"/>
        </w:rPr>
        <w:t>Nutrition reviews</w:t>
      </w:r>
      <w:r w:rsidRPr="0094296D">
        <w:rPr>
          <w:rFonts w:cs="Times New Roman"/>
          <w:noProof/>
          <w:kern w:val="0"/>
          <w:szCs w:val="24"/>
        </w:rPr>
        <w:t>, 59(3), pp. 80–84.</w:t>
      </w:r>
    </w:p>
    <w:p w14:paraId="4F8AAA02"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Hu, W., Zhong, F. and Ding, Y. (2006) ‘Actual media reports on GM foods and Chinese consumers’ willingness to pay for GM soybean oil’, </w:t>
      </w:r>
      <w:r w:rsidRPr="0094296D">
        <w:rPr>
          <w:rFonts w:cs="Times New Roman"/>
          <w:i/>
          <w:iCs/>
          <w:noProof/>
          <w:kern w:val="0"/>
          <w:szCs w:val="24"/>
        </w:rPr>
        <w:t>Journal of Agricultural and Resource Economics</w:t>
      </w:r>
      <w:r w:rsidRPr="0094296D">
        <w:rPr>
          <w:rFonts w:cs="Times New Roman"/>
          <w:noProof/>
          <w:kern w:val="0"/>
          <w:szCs w:val="24"/>
        </w:rPr>
        <w:t>, pp. 376–390.</w:t>
      </w:r>
    </w:p>
    <w:p w14:paraId="15A9015F" w14:textId="1D1E6D75"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Huang, Y. and Tian, X. (2019) ‘Food accessibility, diversity of agricultural production and dietary pattern in rural China’, </w:t>
      </w:r>
      <w:r w:rsidRPr="0094296D">
        <w:rPr>
          <w:rFonts w:cs="Times New Roman"/>
          <w:i/>
          <w:iCs/>
          <w:noProof/>
          <w:kern w:val="0"/>
          <w:szCs w:val="24"/>
        </w:rPr>
        <w:t>Food Policy</w:t>
      </w:r>
      <w:r w:rsidRPr="0094296D">
        <w:rPr>
          <w:rFonts w:cs="Times New Roman"/>
          <w:noProof/>
          <w:kern w:val="0"/>
          <w:szCs w:val="24"/>
        </w:rPr>
        <w:t>, 84, pp. 92–102.</w:t>
      </w:r>
    </w:p>
    <w:p w14:paraId="0FA6498B" w14:textId="3359E038"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Jia, H. X. </w:t>
      </w:r>
      <w:r w:rsidRPr="0094296D">
        <w:rPr>
          <w:rFonts w:cs="Times New Roman"/>
          <w:i/>
          <w:iCs/>
          <w:noProof/>
          <w:kern w:val="0"/>
          <w:szCs w:val="24"/>
        </w:rPr>
        <w:t>et al.</w:t>
      </w:r>
      <w:r w:rsidRPr="0094296D">
        <w:rPr>
          <w:rFonts w:cs="Times New Roman"/>
          <w:noProof/>
          <w:kern w:val="0"/>
          <w:szCs w:val="24"/>
        </w:rPr>
        <w:t xml:space="preserve"> (2016) ‘Mineral Intake in Urban Pregnant Women from Base Diet, Fortified Foods, and Food Supplements: Focus on Calcium, Iron, and Zinc’, </w:t>
      </w:r>
      <w:r w:rsidRPr="0094296D">
        <w:rPr>
          <w:rFonts w:cs="Times New Roman"/>
          <w:i/>
          <w:iCs/>
          <w:noProof/>
          <w:kern w:val="0"/>
          <w:szCs w:val="24"/>
        </w:rPr>
        <w:t>Biomedical and Environmental Sciences</w:t>
      </w:r>
      <w:r w:rsidRPr="0094296D">
        <w:rPr>
          <w:rFonts w:cs="Times New Roman"/>
          <w:noProof/>
          <w:kern w:val="0"/>
          <w:szCs w:val="24"/>
        </w:rPr>
        <w:t xml:space="preserve">, 29(12), pp. 898–901. </w:t>
      </w:r>
    </w:p>
    <w:p w14:paraId="79601D87"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Jin, J. (2014) </w:t>
      </w:r>
      <w:r w:rsidRPr="0094296D">
        <w:rPr>
          <w:rFonts w:cs="Times New Roman"/>
          <w:i/>
          <w:iCs/>
          <w:noProof/>
          <w:kern w:val="0"/>
          <w:szCs w:val="24"/>
        </w:rPr>
        <w:t>Consumer Acceptance and Willingness to Pay for Genetically Modified Rice in China: A Double Bounded Dichotomous Choic Contingent V Contingent Valuation Survey Calibrated by Cheap Talk</w:t>
      </w:r>
      <w:r w:rsidRPr="0094296D">
        <w:rPr>
          <w:rFonts w:cs="Times New Roman"/>
          <w:noProof/>
          <w:kern w:val="0"/>
          <w:szCs w:val="24"/>
        </w:rPr>
        <w:t>. University of Arkansas, Fayetteville.</w:t>
      </w:r>
    </w:p>
    <w:p w14:paraId="7759C18B"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Khosrowi, D. (2023) ‘Extrapolating from experiments, confidently’, </w:t>
      </w:r>
      <w:r w:rsidRPr="0094296D">
        <w:rPr>
          <w:rFonts w:cs="Times New Roman"/>
          <w:i/>
          <w:iCs/>
          <w:noProof/>
          <w:kern w:val="0"/>
          <w:szCs w:val="24"/>
        </w:rPr>
        <w:t>European Journal for Philosophy of Science</w:t>
      </w:r>
      <w:r w:rsidRPr="0094296D">
        <w:rPr>
          <w:rFonts w:cs="Times New Roman"/>
          <w:noProof/>
          <w:kern w:val="0"/>
          <w:szCs w:val="24"/>
        </w:rPr>
        <w:t>, 13(2), p. 18.</w:t>
      </w:r>
    </w:p>
    <w:p w14:paraId="4962FB4A"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Kuntz, K. M. and Weinstein, M. C. (2001) ‘Modelling in economic evaluation’, </w:t>
      </w:r>
      <w:r w:rsidRPr="0094296D">
        <w:rPr>
          <w:rFonts w:cs="Times New Roman"/>
          <w:i/>
          <w:iCs/>
          <w:noProof/>
          <w:kern w:val="0"/>
          <w:szCs w:val="24"/>
        </w:rPr>
        <w:t>Economic evaluation in health care: merging theory with practice</w:t>
      </w:r>
      <w:r w:rsidRPr="0094296D">
        <w:rPr>
          <w:rFonts w:cs="Times New Roman"/>
          <w:noProof/>
          <w:kern w:val="0"/>
          <w:szCs w:val="24"/>
        </w:rPr>
        <w:t>, pp. 141–171.</w:t>
      </w:r>
    </w:p>
    <w:p w14:paraId="754F2138"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Li, L. and Zhang, J. (2016) ‘The Cost-benefit and Cost-effectiveness of </w:t>
      </w:r>
      <w:r w:rsidRPr="0094296D">
        <w:rPr>
          <w:rFonts w:cs="Times New Roman"/>
          <w:noProof/>
          <w:kern w:val="0"/>
          <w:szCs w:val="24"/>
        </w:rPr>
        <w:lastRenderedPageBreak/>
        <w:t xml:space="preserve">HarvestPlus-China Program: an Ex-ante Analysis of Biofortified Iron-rich Wheat in China’, </w:t>
      </w:r>
      <w:r w:rsidRPr="0094296D">
        <w:rPr>
          <w:rFonts w:cs="Times New Roman"/>
          <w:i/>
          <w:iCs/>
          <w:noProof/>
          <w:kern w:val="0"/>
          <w:szCs w:val="24"/>
        </w:rPr>
        <w:t>Current Biotechnology( in Chinese)</w:t>
      </w:r>
      <w:r w:rsidRPr="0094296D">
        <w:rPr>
          <w:rFonts w:cs="Times New Roman"/>
          <w:noProof/>
          <w:kern w:val="0"/>
          <w:szCs w:val="24"/>
        </w:rPr>
        <w:t>, 6(6), pp. 414–421.</w:t>
      </w:r>
    </w:p>
    <w:p w14:paraId="77BA4B4A"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Li, Q. </w:t>
      </w:r>
      <w:r w:rsidRPr="0094296D">
        <w:rPr>
          <w:rFonts w:cs="Times New Roman"/>
          <w:i/>
          <w:iCs/>
          <w:noProof/>
          <w:kern w:val="0"/>
          <w:szCs w:val="24"/>
        </w:rPr>
        <w:t>et al.</w:t>
      </w:r>
      <w:r w:rsidRPr="0094296D">
        <w:rPr>
          <w:rFonts w:cs="Times New Roman"/>
          <w:noProof/>
          <w:kern w:val="0"/>
          <w:szCs w:val="24"/>
        </w:rPr>
        <w:t xml:space="preserve"> (2002) ‘Consumer attitudes toward genetically modified foods in Beijing, China’, </w:t>
      </w:r>
      <w:r w:rsidRPr="0094296D">
        <w:rPr>
          <w:rFonts w:cs="Times New Roman"/>
          <w:i/>
          <w:iCs/>
          <w:noProof/>
          <w:kern w:val="0"/>
          <w:szCs w:val="24"/>
        </w:rPr>
        <w:t>AgBioForum</w:t>
      </w:r>
      <w:r w:rsidRPr="0094296D">
        <w:rPr>
          <w:rFonts w:cs="Times New Roman"/>
          <w:noProof/>
          <w:kern w:val="0"/>
          <w:szCs w:val="24"/>
        </w:rPr>
        <w:t>, 5(4), pp. 145–152.</w:t>
      </w:r>
    </w:p>
    <w:p w14:paraId="40E75017"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Li, Y. </w:t>
      </w:r>
      <w:r w:rsidRPr="0094296D">
        <w:rPr>
          <w:rFonts w:cs="Times New Roman"/>
          <w:i/>
          <w:iCs/>
          <w:noProof/>
          <w:kern w:val="0"/>
          <w:szCs w:val="24"/>
        </w:rPr>
        <w:t>et al.</w:t>
      </w:r>
      <w:r w:rsidRPr="0094296D">
        <w:rPr>
          <w:rFonts w:cs="Times New Roman"/>
          <w:noProof/>
          <w:kern w:val="0"/>
          <w:szCs w:val="24"/>
        </w:rPr>
        <w:t xml:space="preserve"> (2017) ‘Disease burden of community acquired pneumonia among children under 5 y old in China: A population based survey’, </w:t>
      </w:r>
      <w:r w:rsidRPr="0094296D">
        <w:rPr>
          <w:rFonts w:cs="Times New Roman"/>
          <w:i/>
          <w:iCs/>
          <w:noProof/>
          <w:kern w:val="0"/>
          <w:szCs w:val="24"/>
        </w:rPr>
        <w:t>Human vaccines &amp; immunotherapeutics</w:t>
      </w:r>
      <w:r w:rsidRPr="0094296D">
        <w:rPr>
          <w:rFonts w:cs="Times New Roman"/>
          <w:noProof/>
          <w:kern w:val="0"/>
          <w:szCs w:val="24"/>
        </w:rPr>
        <w:t>, 13(7), pp. 1681–1687.</w:t>
      </w:r>
    </w:p>
    <w:p w14:paraId="04F86617"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Liao, F. (2020) </w:t>
      </w:r>
      <w:r w:rsidRPr="0094296D">
        <w:rPr>
          <w:rFonts w:cs="Times New Roman"/>
          <w:i/>
          <w:iCs/>
          <w:noProof/>
          <w:kern w:val="0"/>
          <w:szCs w:val="24"/>
        </w:rPr>
        <w:t>Study on the Economic Evaluation of Biofortification Agricultural Products to Improve the Nutritional Health of the Population</w:t>
      </w:r>
      <w:r w:rsidRPr="0094296D">
        <w:rPr>
          <w:rFonts w:cs="Times New Roman"/>
          <w:noProof/>
          <w:kern w:val="0"/>
          <w:szCs w:val="24"/>
        </w:rPr>
        <w:t>. Huazhong Agricultural University.</w:t>
      </w:r>
    </w:p>
    <w:p w14:paraId="48712AC4" w14:textId="19FB9F76"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Liu, D. </w:t>
      </w:r>
      <w:r w:rsidRPr="0094296D">
        <w:rPr>
          <w:rFonts w:cs="Times New Roman"/>
          <w:i/>
          <w:iCs/>
          <w:noProof/>
          <w:kern w:val="0"/>
          <w:szCs w:val="24"/>
        </w:rPr>
        <w:t>et al.</w:t>
      </w:r>
      <w:r w:rsidRPr="0094296D">
        <w:rPr>
          <w:rFonts w:cs="Times New Roman"/>
          <w:noProof/>
          <w:kern w:val="0"/>
          <w:szCs w:val="24"/>
        </w:rPr>
        <w:t xml:space="preserve"> (2017) ‘Agronomic approach of zinc biofortification can increase zinc bioavailability in wheat flour and thereby reduce zinc deficiency in humans’, </w:t>
      </w:r>
      <w:r w:rsidRPr="0094296D">
        <w:rPr>
          <w:rFonts w:cs="Times New Roman"/>
          <w:i/>
          <w:iCs/>
          <w:noProof/>
          <w:kern w:val="0"/>
          <w:szCs w:val="24"/>
        </w:rPr>
        <w:t>Nutrients</w:t>
      </w:r>
      <w:r w:rsidRPr="0094296D">
        <w:rPr>
          <w:rFonts w:cs="Times New Roman"/>
          <w:noProof/>
          <w:kern w:val="0"/>
          <w:szCs w:val="24"/>
        </w:rPr>
        <w:t xml:space="preserve">, 9(5), p. 465. </w:t>
      </w:r>
    </w:p>
    <w:p w14:paraId="7F9D7357"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Lu, Y., Yang, D. and Qi, Y. (2019) ‘Analysis of the Burden of Respiratory Diseases in China’, </w:t>
      </w:r>
      <w:r w:rsidRPr="0094296D">
        <w:rPr>
          <w:rFonts w:cs="Times New Roman"/>
          <w:i/>
          <w:iCs/>
          <w:noProof/>
          <w:kern w:val="0"/>
          <w:szCs w:val="24"/>
        </w:rPr>
        <w:t>China Health Industry</w:t>
      </w:r>
      <w:r w:rsidRPr="0094296D">
        <w:rPr>
          <w:rFonts w:cs="Times New Roman"/>
          <w:noProof/>
          <w:kern w:val="0"/>
          <w:szCs w:val="24"/>
        </w:rPr>
        <w:t>, 20, pp. 3–7.</w:t>
      </w:r>
    </w:p>
    <w:p w14:paraId="565EBE39"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Ma, G., Jin, Y., Li, Y., Zhai, F., Kok, Frans J, </w:t>
      </w:r>
      <w:r w:rsidRPr="0094296D">
        <w:rPr>
          <w:rFonts w:cs="Times New Roman"/>
          <w:i/>
          <w:iCs/>
          <w:noProof/>
          <w:kern w:val="0"/>
          <w:szCs w:val="24"/>
        </w:rPr>
        <w:t>et al.</w:t>
      </w:r>
      <w:r w:rsidRPr="0094296D">
        <w:rPr>
          <w:rFonts w:cs="Times New Roman"/>
          <w:noProof/>
          <w:kern w:val="0"/>
          <w:szCs w:val="24"/>
        </w:rPr>
        <w:t xml:space="preserve"> (2008) ‘Iron and zinc deficiencies in China: what is a feasible and cost-effective strategy?’, </w:t>
      </w:r>
      <w:r w:rsidRPr="0094296D">
        <w:rPr>
          <w:rFonts w:cs="Times New Roman"/>
          <w:i/>
          <w:iCs/>
          <w:noProof/>
          <w:kern w:val="0"/>
          <w:szCs w:val="24"/>
        </w:rPr>
        <w:t>Public Health Nutrition</w:t>
      </w:r>
      <w:r w:rsidRPr="0094296D">
        <w:rPr>
          <w:rFonts w:cs="Times New Roman"/>
          <w:noProof/>
          <w:kern w:val="0"/>
          <w:szCs w:val="24"/>
        </w:rPr>
        <w:t>, 11(6), pp. 632–638.</w:t>
      </w:r>
    </w:p>
    <w:p w14:paraId="27AC9D64"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Malcolm, S. A. </w:t>
      </w:r>
      <w:r w:rsidRPr="0094296D">
        <w:rPr>
          <w:rFonts w:cs="Times New Roman"/>
          <w:i/>
          <w:iCs/>
          <w:noProof/>
          <w:kern w:val="0"/>
          <w:szCs w:val="24"/>
        </w:rPr>
        <w:t>et al.</w:t>
      </w:r>
      <w:r w:rsidRPr="0094296D">
        <w:rPr>
          <w:rFonts w:cs="Times New Roman"/>
          <w:noProof/>
          <w:kern w:val="0"/>
          <w:szCs w:val="24"/>
        </w:rPr>
        <w:t xml:space="preserve"> (2004) ‘Evaluating the economic effectiveness of pathogen reduction technologies in cattle slaughter plants’, </w:t>
      </w:r>
      <w:r w:rsidRPr="0094296D">
        <w:rPr>
          <w:rFonts w:cs="Times New Roman"/>
          <w:i/>
          <w:iCs/>
          <w:noProof/>
          <w:kern w:val="0"/>
          <w:szCs w:val="24"/>
        </w:rPr>
        <w:t>Agribusiness: An International Journal</w:t>
      </w:r>
      <w:r w:rsidRPr="0094296D">
        <w:rPr>
          <w:rFonts w:cs="Times New Roman"/>
          <w:noProof/>
          <w:kern w:val="0"/>
          <w:szCs w:val="24"/>
        </w:rPr>
        <w:t>, 20(1), pp. 109–123.</w:t>
      </w:r>
    </w:p>
    <w:p w14:paraId="241EBF40"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Mangen, M. J., De Wit, G. A. and Havelaar, A. H. (2007) ‘Economic analysis of Campylobacter control in the Dutch broiler meat chain’, </w:t>
      </w:r>
      <w:r w:rsidRPr="0094296D">
        <w:rPr>
          <w:rFonts w:cs="Times New Roman"/>
          <w:i/>
          <w:iCs/>
          <w:noProof/>
          <w:kern w:val="0"/>
          <w:szCs w:val="24"/>
        </w:rPr>
        <w:t>Agribusiness: An International Journal</w:t>
      </w:r>
      <w:r w:rsidRPr="0094296D">
        <w:rPr>
          <w:rFonts w:cs="Times New Roman"/>
          <w:noProof/>
          <w:kern w:val="0"/>
          <w:szCs w:val="24"/>
        </w:rPr>
        <w:t>, 23(2), pp. 173–192.</w:t>
      </w:r>
    </w:p>
    <w:p w14:paraId="4A9BBD63"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Maret, W. and Sandstead, H. H. (2006) ‘Zinc requirements and the risks and benefits of zinc supplementation’, </w:t>
      </w:r>
      <w:r w:rsidRPr="0094296D">
        <w:rPr>
          <w:rFonts w:cs="Times New Roman"/>
          <w:i/>
          <w:iCs/>
          <w:noProof/>
          <w:kern w:val="0"/>
          <w:szCs w:val="24"/>
        </w:rPr>
        <w:t>Journal of trace elements in medicine and biology</w:t>
      </w:r>
      <w:r w:rsidRPr="0094296D">
        <w:rPr>
          <w:rFonts w:cs="Times New Roman"/>
          <w:noProof/>
          <w:kern w:val="0"/>
          <w:szCs w:val="24"/>
        </w:rPr>
        <w:t>, 20(1), pp. 3–18.</w:t>
      </w:r>
    </w:p>
    <w:p w14:paraId="53BD4F36"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Marseille, E. </w:t>
      </w:r>
      <w:r w:rsidRPr="0094296D">
        <w:rPr>
          <w:rFonts w:cs="Times New Roman"/>
          <w:i/>
          <w:iCs/>
          <w:noProof/>
          <w:kern w:val="0"/>
          <w:szCs w:val="24"/>
        </w:rPr>
        <w:t>et al.</w:t>
      </w:r>
      <w:r w:rsidRPr="0094296D">
        <w:rPr>
          <w:rFonts w:cs="Times New Roman"/>
          <w:noProof/>
          <w:kern w:val="0"/>
          <w:szCs w:val="24"/>
        </w:rPr>
        <w:t xml:space="preserve"> (2014) ‘Thresholds for the cost–effectiveness of interventions: alternative approaches’, </w:t>
      </w:r>
      <w:r w:rsidRPr="0094296D">
        <w:rPr>
          <w:rFonts w:cs="Times New Roman"/>
          <w:i/>
          <w:iCs/>
          <w:noProof/>
          <w:kern w:val="0"/>
          <w:szCs w:val="24"/>
        </w:rPr>
        <w:t>Bulletin of the World Health Organization</w:t>
      </w:r>
      <w:r w:rsidRPr="0094296D">
        <w:rPr>
          <w:rFonts w:cs="Times New Roman"/>
          <w:noProof/>
          <w:kern w:val="0"/>
          <w:szCs w:val="24"/>
        </w:rPr>
        <w:t>, 93(2), pp. 118–124.</w:t>
      </w:r>
    </w:p>
    <w:p w14:paraId="2094B910" w14:textId="74B76D75"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Matita, M. </w:t>
      </w:r>
      <w:r w:rsidRPr="0094296D">
        <w:rPr>
          <w:rFonts w:cs="Times New Roman"/>
          <w:i/>
          <w:iCs/>
          <w:noProof/>
          <w:kern w:val="0"/>
          <w:szCs w:val="24"/>
        </w:rPr>
        <w:t>et al.</w:t>
      </w:r>
      <w:r w:rsidRPr="0094296D">
        <w:rPr>
          <w:rFonts w:cs="Times New Roman"/>
          <w:noProof/>
          <w:kern w:val="0"/>
          <w:szCs w:val="24"/>
        </w:rPr>
        <w:t xml:space="preserve"> (2021) ‘Does household participation in food markets increase dietary diversity? Evidence from rural Malawi’, </w:t>
      </w:r>
      <w:r w:rsidRPr="0094296D">
        <w:rPr>
          <w:rFonts w:cs="Times New Roman"/>
          <w:i/>
          <w:iCs/>
          <w:noProof/>
          <w:kern w:val="0"/>
          <w:szCs w:val="24"/>
        </w:rPr>
        <w:t>Global Food Security</w:t>
      </w:r>
      <w:r w:rsidRPr="0094296D">
        <w:rPr>
          <w:rFonts w:cs="Times New Roman"/>
          <w:noProof/>
          <w:kern w:val="0"/>
          <w:szCs w:val="24"/>
        </w:rPr>
        <w:t xml:space="preserve">, 28, p. 100486. </w:t>
      </w:r>
    </w:p>
    <w:p w14:paraId="048C6A9D"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Mejía, A. </w:t>
      </w:r>
      <w:r w:rsidRPr="0094296D">
        <w:rPr>
          <w:rFonts w:cs="Times New Roman"/>
          <w:i/>
          <w:iCs/>
          <w:noProof/>
          <w:kern w:val="0"/>
          <w:szCs w:val="24"/>
        </w:rPr>
        <w:t>et al.</w:t>
      </w:r>
      <w:r w:rsidRPr="0094296D">
        <w:rPr>
          <w:rFonts w:cs="Times New Roman"/>
          <w:noProof/>
          <w:kern w:val="0"/>
          <w:szCs w:val="24"/>
        </w:rPr>
        <w:t xml:space="preserve"> (2015) ‘Cost-effectiveness analysis of zinc supplementation for treatment of acute diarrhea in children younger than 5 years in Colombia’, </w:t>
      </w:r>
      <w:r w:rsidRPr="0094296D">
        <w:rPr>
          <w:rFonts w:cs="Times New Roman"/>
          <w:i/>
          <w:iCs/>
          <w:noProof/>
          <w:kern w:val="0"/>
          <w:szCs w:val="24"/>
        </w:rPr>
        <w:t>Journal of pediatric gastroenterology and nutrition</w:t>
      </w:r>
      <w:r w:rsidRPr="0094296D">
        <w:rPr>
          <w:rFonts w:cs="Times New Roman"/>
          <w:noProof/>
          <w:kern w:val="0"/>
          <w:szCs w:val="24"/>
        </w:rPr>
        <w:t>, 60(4), pp. 515–520.</w:t>
      </w:r>
    </w:p>
    <w:p w14:paraId="19E2CDAC"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Muthayya, S. </w:t>
      </w:r>
      <w:r w:rsidRPr="0094296D">
        <w:rPr>
          <w:rFonts w:cs="Times New Roman"/>
          <w:i/>
          <w:iCs/>
          <w:noProof/>
          <w:kern w:val="0"/>
          <w:szCs w:val="24"/>
        </w:rPr>
        <w:t>et al.</w:t>
      </w:r>
      <w:r w:rsidRPr="0094296D">
        <w:rPr>
          <w:rFonts w:cs="Times New Roman"/>
          <w:noProof/>
          <w:kern w:val="0"/>
          <w:szCs w:val="24"/>
        </w:rPr>
        <w:t xml:space="preserve"> (2013) ‘The global hidden hunger indices and maps: an advocacy tool for action’, </w:t>
      </w:r>
      <w:r w:rsidRPr="0094296D">
        <w:rPr>
          <w:rFonts w:cs="Times New Roman"/>
          <w:i/>
          <w:iCs/>
          <w:noProof/>
          <w:kern w:val="0"/>
          <w:szCs w:val="24"/>
        </w:rPr>
        <w:t>PloS one</w:t>
      </w:r>
      <w:r w:rsidRPr="0094296D">
        <w:rPr>
          <w:rFonts w:cs="Times New Roman"/>
          <w:noProof/>
          <w:kern w:val="0"/>
          <w:szCs w:val="24"/>
        </w:rPr>
        <w:t>, 8(6), p. e67860.</w:t>
      </w:r>
    </w:p>
    <w:p w14:paraId="6118AFC1" w14:textId="6728DF95" w:rsidR="00D41F02" w:rsidRPr="00D41F02" w:rsidRDefault="00D41F02" w:rsidP="00D41F02">
      <w:pPr>
        <w:autoSpaceDE w:val="0"/>
        <w:autoSpaceDN w:val="0"/>
        <w:adjustRightInd w:val="0"/>
        <w:ind w:firstLine="480"/>
        <w:jc w:val="left"/>
        <w:rPr>
          <w:rFonts w:cs="Times New Roman"/>
          <w:noProof/>
          <w:kern w:val="0"/>
          <w:szCs w:val="24"/>
        </w:rPr>
      </w:pPr>
      <w:r w:rsidRPr="00D41F02">
        <w:rPr>
          <w:rFonts w:cs="Times New Roman"/>
          <w:noProof/>
          <w:kern w:val="0"/>
          <w:szCs w:val="24"/>
        </w:rPr>
        <w:t>National Bureau of Statistics. (2022). Market price of grains. https://data.stats.gov.cn/easyquery.htm?cn=A01&amp;zb=A010G01&amp;sj=202204National Health Commission. (2021). China Health Statistical Yearbook (2021). Peking Union Medical College Press.</w:t>
      </w:r>
    </w:p>
    <w:p w14:paraId="1982539D" w14:textId="2ACC6D07" w:rsidR="00D41F02" w:rsidRDefault="00D41F02" w:rsidP="00D41F02">
      <w:pPr>
        <w:autoSpaceDE w:val="0"/>
        <w:autoSpaceDN w:val="0"/>
        <w:adjustRightInd w:val="0"/>
        <w:ind w:firstLine="480"/>
        <w:jc w:val="left"/>
        <w:rPr>
          <w:rFonts w:cs="Times New Roman"/>
          <w:noProof/>
          <w:kern w:val="0"/>
          <w:szCs w:val="24"/>
        </w:rPr>
      </w:pPr>
      <w:r w:rsidRPr="00D41F02">
        <w:rPr>
          <w:rFonts w:cs="Times New Roman"/>
          <w:noProof/>
          <w:kern w:val="0"/>
          <w:szCs w:val="24"/>
        </w:rPr>
        <w:t xml:space="preserve">National Institute for Health and Care Excellence. (2014). Developing NICE </w:t>
      </w:r>
      <w:r w:rsidRPr="00D41F02">
        <w:rPr>
          <w:rFonts w:cs="Times New Roman"/>
          <w:noProof/>
          <w:kern w:val="0"/>
          <w:szCs w:val="24"/>
        </w:rPr>
        <w:lastRenderedPageBreak/>
        <w:t>guidelines: The manual.</w:t>
      </w:r>
      <w:r>
        <w:rPr>
          <w:rFonts w:cs="Times New Roman"/>
          <w:noProof/>
          <w:kern w:val="0"/>
          <w:szCs w:val="24"/>
        </w:rPr>
        <w:t xml:space="preserve"> </w:t>
      </w:r>
      <w:r w:rsidRPr="00D41F02">
        <w:rPr>
          <w:rFonts w:cs="Times New Roman"/>
          <w:noProof/>
          <w:kern w:val="0"/>
          <w:szCs w:val="24"/>
        </w:rPr>
        <w:t>https://www.nice.org.uk/process/pmg20/resources/developing-nice-guidelines-the-manual-pdf-72286708700869</w:t>
      </w:r>
    </w:p>
    <w:p w14:paraId="04099227" w14:textId="60E7039C" w:rsidR="0094296D" w:rsidRPr="0094296D" w:rsidRDefault="0094296D" w:rsidP="00D41F02">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Olivares, M. </w:t>
      </w:r>
      <w:r w:rsidRPr="0094296D">
        <w:rPr>
          <w:rFonts w:cs="Times New Roman"/>
          <w:i/>
          <w:iCs/>
          <w:noProof/>
          <w:kern w:val="0"/>
          <w:szCs w:val="24"/>
        </w:rPr>
        <w:t>et al.</w:t>
      </w:r>
      <w:r w:rsidRPr="0094296D">
        <w:rPr>
          <w:rFonts w:cs="Times New Roman"/>
          <w:noProof/>
          <w:kern w:val="0"/>
          <w:szCs w:val="24"/>
        </w:rPr>
        <w:t xml:space="preserve"> (2012) ‘Acute inhibition of iron bioavailability by zinc: studies in humans’, </w:t>
      </w:r>
      <w:r w:rsidRPr="0094296D">
        <w:rPr>
          <w:rFonts w:cs="Times New Roman"/>
          <w:i/>
          <w:iCs/>
          <w:noProof/>
          <w:kern w:val="0"/>
          <w:szCs w:val="24"/>
        </w:rPr>
        <w:t>Biometals</w:t>
      </w:r>
      <w:r w:rsidRPr="0094296D">
        <w:rPr>
          <w:rFonts w:cs="Times New Roman"/>
          <w:noProof/>
          <w:kern w:val="0"/>
          <w:szCs w:val="24"/>
        </w:rPr>
        <w:t>, 25(4), pp. 657–664.</w:t>
      </w:r>
    </w:p>
    <w:p w14:paraId="7E3887DA" w14:textId="3BEF241B"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Rabovskaja, V., Parkinson, B. and Goodall, S. (2013) ‘The cost-effectiveness of mandatory folic acid fortification in Australia’, </w:t>
      </w:r>
      <w:r w:rsidRPr="0094296D">
        <w:rPr>
          <w:rFonts w:cs="Times New Roman"/>
          <w:i/>
          <w:iCs/>
          <w:noProof/>
          <w:kern w:val="0"/>
          <w:szCs w:val="24"/>
        </w:rPr>
        <w:t>Journal of Nutrition</w:t>
      </w:r>
      <w:r w:rsidRPr="0094296D">
        <w:rPr>
          <w:rFonts w:cs="Times New Roman"/>
          <w:noProof/>
          <w:kern w:val="0"/>
          <w:szCs w:val="24"/>
        </w:rPr>
        <w:t xml:space="preserve">, 143(1), pp. 59–66. </w:t>
      </w:r>
    </w:p>
    <w:p w14:paraId="59C0C468"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Sacco, J. E. </w:t>
      </w:r>
      <w:r w:rsidRPr="0094296D">
        <w:rPr>
          <w:rFonts w:cs="Times New Roman"/>
          <w:i/>
          <w:iCs/>
          <w:noProof/>
          <w:kern w:val="0"/>
          <w:szCs w:val="24"/>
        </w:rPr>
        <w:t>et al.</w:t>
      </w:r>
      <w:r w:rsidRPr="0094296D">
        <w:rPr>
          <w:rFonts w:cs="Times New Roman"/>
          <w:noProof/>
          <w:kern w:val="0"/>
          <w:szCs w:val="24"/>
        </w:rPr>
        <w:t xml:space="preserve"> (2013) ‘Voluntary food fortification in the United States: potential for excessive intakes’, </w:t>
      </w:r>
      <w:r w:rsidRPr="0094296D">
        <w:rPr>
          <w:rFonts w:cs="Times New Roman"/>
          <w:i/>
          <w:iCs/>
          <w:noProof/>
          <w:kern w:val="0"/>
          <w:szCs w:val="24"/>
        </w:rPr>
        <w:t>European journal of clinical nutrition</w:t>
      </w:r>
      <w:r w:rsidRPr="0094296D">
        <w:rPr>
          <w:rFonts w:cs="Times New Roman"/>
          <w:noProof/>
          <w:kern w:val="0"/>
          <w:szCs w:val="24"/>
        </w:rPr>
        <w:t>, 67(6), pp. 592–597.</w:t>
      </w:r>
    </w:p>
    <w:p w14:paraId="533BC0B1" w14:textId="6048EA5C"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Salomon, J. A. </w:t>
      </w:r>
      <w:r w:rsidRPr="0094296D">
        <w:rPr>
          <w:rFonts w:cs="Times New Roman"/>
          <w:i/>
          <w:iCs/>
          <w:noProof/>
          <w:kern w:val="0"/>
          <w:szCs w:val="24"/>
        </w:rPr>
        <w:t>et al.</w:t>
      </w:r>
      <w:r w:rsidRPr="0094296D">
        <w:rPr>
          <w:rFonts w:cs="Times New Roman"/>
          <w:noProof/>
          <w:kern w:val="0"/>
          <w:szCs w:val="24"/>
        </w:rPr>
        <w:t xml:space="preserve"> (2010) ‘Common values in assessing health outcomes from disease and injury : disability weights measurement study for the Global Burden of Disease Study 2010’, pp. 2129–2143.</w:t>
      </w:r>
    </w:p>
    <w:p w14:paraId="365C2A42" w14:textId="6853C15B"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Sazawal, S. </w:t>
      </w:r>
      <w:r w:rsidRPr="0094296D">
        <w:rPr>
          <w:rFonts w:cs="Times New Roman"/>
          <w:i/>
          <w:iCs/>
          <w:noProof/>
          <w:kern w:val="0"/>
          <w:szCs w:val="24"/>
        </w:rPr>
        <w:t>et al.</w:t>
      </w:r>
      <w:r w:rsidRPr="0094296D">
        <w:rPr>
          <w:rFonts w:cs="Times New Roman"/>
          <w:noProof/>
          <w:kern w:val="0"/>
          <w:szCs w:val="24"/>
        </w:rPr>
        <w:t xml:space="preserve"> (2018) ‘Efficacy of high zinc biofortified wheat in improvement of micronutrient status, and prevention of morbidity among preschool children and women - A double masked, randomized, controlled trial 11 Medical and Health Sciences 1117 Public Health and Health Se’, </w:t>
      </w:r>
      <w:r w:rsidRPr="0094296D">
        <w:rPr>
          <w:rFonts w:cs="Times New Roman"/>
          <w:i/>
          <w:iCs/>
          <w:noProof/>
          <w:kern w:val="0"/>
          <w:szCs w:val="24"/>
        </w:rPr>
        <w:t>Nutrition Journal</w:t>
      </w:r>
      <w:r w:rsidRPr="0094296D">
        <w:rPr>
          <w:rFonts w:cs="Times New Roman"/>
          <w:noProof/>
          <w:kern w:val="0"/>
          <w:szCs w:val="24"/>
        </w:rPr>
        <w:t xml:space="preserve">, 17, p. 86. </w:t>
      </w:r>
    </w:p>
    <w:p w14:paraId="08CDE54B" w14:textId="702DBC83"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Silva, A. S. and Nabavi, S. M. (2019) ‘Challenges and Foresight of Food Supplements’, in Nabavi, S. M. and Silva, A. S. (eds) </w:t>
      </w:r>
      <w:r w:rsidRPr="0094296D">
        <w:rPr>
          <w:rFonts w:cs="Times New Roman"/>
          <w:i/>
          <w:iCs/>
          <w:noProof/>
          <w:kern w:val="0"/>
          <w:szCs w:val="24"/>
        </w:rPr>
        <w:t>Nonvitamin and Nonmineral Nutritional Supplements</w:t>
      </w:r>
      <w:r w:rsidRPr="0094296D">
        <w:rPr>
          <w:rFonts w:cs="Times New Roman"/>
          <w:noProof/>
          <w:kern w:val="0"/>
          <w:szCs w:val="24"/>
        </w:rPr>
        <w:t xml:space="preserve">. Academic Press, pp. 541–543. </w:t>
      </w:r>
    </w:p>
    <w:p w14:paraId="5DE23461"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Simpson, J. L. </w:t>
      </w:r>
      <w:r w:rsidRPr="0094296D">
        <w:rPr>
          <w:rFonts w:cs="Times New Roman"/>
          <w:i/>
          <w:iCs/>
          <w:noProof/>
          <w:kern w:val="0"/>
          <w:szCs w:val="24"/>
        </w:rPr>
        <w:t>et al.</w:t>
      </w:r>
      <w:r w:rsidRPr="0094296D">
        <w:rPr>
          <w:rFonts w:cs="Times New Roman"/>
          <w:noProof/>
          <w:kern w:val="0"/>
          <w:szCs w:val="24"/>
        </w:rPr>
        <w:t xml:space="preserve"> (2011) ‘Micronutrients and women of reproductive potential: required dietary intake and consequences of dietary deficienty or excess. Part II-Vitamin D, Vitamin A, Iron, Zinc, Iodine, Essential Fatty Acids’, </w:t>
      </w:r>
      <w:r w:rsidRPr="0094296D">
        <w:rPr>
          <w:rFonts w:cs="Times New Roman"/>
          <w:i/>
          <w:iCs/>
          <w:noProof/>
          <w:kern w:val="0"/>
          <w:szCs w:val="24"/>
        </w:rPr>
        <w:t>The Journal of Maternal-Fetal &amp; Neonatal Medicine</w:t>
      </w:r>
      <w:r w:rsidRPr="0094296D">
        <w:rPr>
          <w:rFonts w:cs="Times New Roman"/>
          <w:noProof/>
          <w:kern w:val="0"/>
          <w:szCs w:val="24"/>
        </w:rPr>
        <w:t>, 24(1), pp. 1–24.</w:t>
      </w:r>
    </w:p>
    <w:p w14:paraId="4A0047AD"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Stein, A. J. </w:t>
      </w:r>
      <w:r w:rsidRPr="0094296D">
        <w:rPr>
          <w:rFonts w:cs="Times New Roman"/>
          <w:i/>
          <w:iCs/>
          <w:noProof/>
          <w:kern w:val="0"/>
          <w:szCs w:val="24"/>
        </w:rPr>
        <w:t>et al.</w:t>
      </w:r>
      <w:r w:rsidRPr="0094296D">
        <w:rPr>
          <w:rFonts w:cs="Times New Roman"/>
          <w:noProof/>
          <w:kern w:val="0"/>
          <w:szCs w:val="24"/>
        </w:rPr>
        <w:t xml:space="preserve"> (2005) ‘Health benefits of biofortification: an ex-ante analysis of iron-rich rice and wheat in India’, </w:t>
      </w:r>
      <w:r w:rsidRPr="0094296D">
        <w:rPr>
          <w:rFonts w:cs="Times New Roman"/>
          <w:i/>
          <w:iCs/>
          <w:noProof/>
          <w:kern w:val="0"/>
          <w:szCs w:val="24"/>
        </w:rPr>
        <w:t>American Agricultural Economics Association Annual Meeting, July 24-27</w:t>
      </w:r>
      <w:r w:rsidRPr="0094296D">
        <w:rPr>
          <w:rFonts w:cs="Times New Roman"/>
          <w:noProof/>
          <w:kern w:val="0"/>
          <w:szCs w:val="24"/>
        </w:rPr>
        <w:t>, p. 34. Available at: http://purl.umn.edu/19468.</w:t>
      </w:r>
    </w:p>
    <w:p w14:paraId="07CA9AE8"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Stein, A. J. </w:t>
      </w:r>
      <w:r w:rsidRPr="0094296D">
        <w:rPr>
          <w:rFonts w:cs="Times New Roman"/>
          <w:i/>
          <w:iCs/>
          <w:noProof/>
          <w:kern w:val="0"/>
          <w:szCs w:val="24"/>
        </w:rPr>
        <w:t>et al.</w:t>
      </w:r>
      <w:r w:rsidRPr="0094296D">
        <w:rPr>
          <w:rFonts w:cs="Times New Roman"/>
          <w:noProof/>
          <w:kern w:val="0"/>
          <w:szCs w:val="24"/>
        </w:rPr>
        <w:t xml:space="preserve"> (2007) ‘Plant breeding to control zinc deficiency in India: how cost-effective is biofortification?’, </w:t>
      </w:r>
      <w:r w:rsidRPr="0094296D">
        <w:rPr>
          <w:rFonts w:cs="Times New Roman"/>
          <w:i/>
          <w:iCs/>
          <w:noProof/>
          <w:kern w:val="0"/>
          <w:szCs w:val="24"/>
        </w:rPr>
        <w:t>Public health nutrition</w:t>
      </w:r>
      <w:r w:rsidRPr="0094296D">
        <w:rPr>
          <w:rFonts w:cs="Times New Roman"/>
          <w:noProof/>
          <w:kern w:val="0"/>
          <w:szCs w:val="24"/>
        </w:rPr>
        <w:t>, 10(5), pp. 492–501.</w:t>
      </w:r>
    </w:p>
    <w:p w14:paraId="5D119386"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Sun, Y. </w:t>
      </w:r>
      <w:r w:rsidRPr="0094296D">
        <w:rPr>
          <w:rFonts w:cs="Times New Roman"/>
          <w:i/>
          <w:iCs/>
          <w:noProof/>
          <w:kern w:val="0"/>
          <w:szCs w:val="24"/>
        </w:rPr>
        <w:t>et al.</w:t>
      </w:r>
      <w:r w:rsidRPr="0094296D">
        <w:rPr>
          <w:rFonts w:cs="Times New Roman"/>
          <w:noProof/>
          <w:kern w:val="0"/>
          <w:szCs w:val="24"/>
        </w:rPr>
        <w:t xml:space="preserve"> (2020) ‘Incidence of community-acquired pneumonia in urban China: a national population-based study’, </w:t>
      </w:r>
      <w:r w:rsidRPr="0094296D">
        <w:rPr>
          <w:rFonts w:cs="Times New Roman"/>
          <w:i/>
          <w:iCs/>
          <w:noProof/>
          <w:kern w:val="0"/>
          <w:szCs w:val="24"/>
        </w:rPr>
        <w:t>Vaccine</w:t>
      </w:r>
      <w:r w:rsidRPr="0094296D">
        <w:rPr>
          <w:rFonts w:cs="Times New Roman"/>
          <w:noProof/>
          <w:kern w:val="0"/>
          <w:szCs w:val="24"/>
        </w:rPr>
        <w:t>, 38(52), pp. 8362–8370.</w:t>
      </w:r>
    </w:p>
    <w:p w14:paraId="0655725F" w14:textId="77777777" w:rsid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Tengs, T. O. and Wallace, A. (2000) ‘One thousand health-related quality-of-life estimates’, </w:t>
      </w:r>
      <w:r w:rsidRPr="0094296D">
        <w:rPr>
          <w:rFonts w:cs="Times New Roman"/>
          <w:i/>
          <w:iCs/>
          <w:noProof/>
          <w:kern w:val="0"/>
          <w:szCs w:val="24"/>
        </w:rPr>
        <w:t>Medical care</w:t>
      </w:r>
      <w:r w:rsidRPr="0094296D">
        <w:rPr>
          <w:rFonts w:cs="Times New Roman"/>
          <w:noProof/>
          <w:kern w:val="0"/>
          <w:szCs w:val="24"/>
        </w:rPr>
        <w:t>, 38(6), pp. 583–637.</w:t>
      </w:r>
    </w:p>
    <w:p w14:paraId="6B584FF6" w14:textId="163D4652" w:rsidR="00D41F02" w:rsidRPr="0094296D" w:rsidRDefault="00D41F02" w:rsidP="00D41F02">
      <w:pPr>
        <w:autoSpaceDE w:val="0"/>
        <w:autoSpaceDN w:val="0"/>
        <w:adjustRightInd w:val="0"/>
        <w:ind w:firstLine="480"/>
        <w:jc w:val="left"/>
        <w:rPr>
          <w:rFonts w:cs="Times New Roman"/>
          <w:noProof/>
          <w:kern w:val="0"/>
          <w:szCs w:val="24"/>
        </w:rPr>
      </w:pPr>
      <w:r w:rsidRPr="00D41F02">
        <w:rPr>
          <w:rFonts w:cs="Times New Roman"/>
          <w:noProof/>
          <w:kern w:val="0"/>
          <w:szCs w:val="24"/>
        </w:rPr>
        <w:t>The State Council. (2021). Bulletin of the Seventh National Population Census. https://www.gov.cn/guoqing/2021</w:t>
      </w:r>
      <w:r>
        <w:rPr>
          <w:rFonts w:cs="Times New Roman"/>
          <w:noProof/>
          <w:kern w:val="0"/>
          <w:szCs w:val="24"/>
        </w:rPr>
        <w:t>-</w:t>
      </w:r>
      <w:r w:rsidRPr="00D41F02">
        <w:rPr>
          <w:rFonts w:cs="Times New Roman"/>
          <w:noProof/>
          <w:kern w:val="0"/>
          <w:szCs w:val="24"/>
        </w:rPr>
        <w:t>05/13/content_5606149.htm?eqid=e80dbc850001d1a0000000046461a3f1</w:t>
      </w:r>
    </w:p>
    <w:p w14:paraId="17114F33"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Wallace, T. C., McBurney, M. and Fulgoni III, V. L. (2014) ‘Multivitamin/mineral supplement contribution to micronutrient intakes in the United States, 2007–2010’, </w:t>
      </w:r>
      <w:r w:rsidRPr="0094296D">
        <w:rPr>
          <w:rFonts w:cs="Times New Roman"/>
          <w:i/>
          <w:iCs/>
          <w:noProof/>
          <w:kern w:val="0"/>
          <w:szCs w:val="24"/>
        </w:rPr>
        <w:t>Journal of the American College of Nutrition</w:t>
      </w:r>
      <w:r w:rsidRPr="0094296D">
        <w:rPr>
          <w:rFonts w:cs="Times New Roman"/>
          <w:noProof/>
          <w:kern w:val="0"/>
          <w:szCs w:val="24"/>
        </w:rPr>
        <w:t>, 33(2), pp. 94–102.</w:t>
      </w:r>
    </w:p>
    <w:p w14:paraId="330498A8" w14:textId="692A1A7F" w:rsidR="00D41F02" w:rsidRDefault="00D41F02" w:rsidP="00D41F02">
      <w:pPr>
        <w:autoSpaceDE w:val="0"/>
        <w:autoSpaceDN w:val="0"/>
        <w:adjustRightInd w:val="0"/>
        <w:ind w:firstLine="480"/>
        <w:jc w:val="left"/>
        <w:rPr>
          <w:rFonts w:cs="Times New Roman"/>
          <w:noProof/>
          <w:kern w:val="0"/>
          <w:szCs w:val="24"/>
        </w:rPr>
      </w:pPr>
      <w:r w:rsidRPr="00D41F02">
        <w:rPr>
          <w:rFonts w:cs="Times New Roman"/>
          <w:noProof/>
          <w:kern w:val="0"/>
          <w:szCs w:val="24"/>
        </w:rPr>
        <w:t>Wang, H., Liu, X. B., Chu, T. D., Li, C. H., &amp; Yang, Q. (2003). Residual effect of zinc application on crop yield, zinc</w:t>
      </w:r>
      <w:r>
        <w:rPr>
          <w:rFonts w:cs="Times New Roman"/>
          <w:noProof/>
          <w:kern w:val="0"/>
          <w:szCs w:val="24"/>
        </w:rPr>
        <w:t xml:space="preserve"> </w:t>
      </w:r>
      <w:r w:rsidRPr="00D41F02">
        <w:rPr>
          <w:rFonts w:cs="Times New Roman"/>
          <w:noProof/>
          <w:kern w:val="0"/>
          <w:szCs w:val="24"/>
        </w:rPr>
        <w:t xml:space="preserve">concentration in crop grain and soil available </w:t>
      </w:r>
      <w:r w:rsidRPr="00D41F02">
        <w:rPr>
          <w:rFonts w:cs="Times New Roman"/>
          <w:noProof/>
          <w:kern w:val="0"/>
          <w:szCs w:val="24"/>
        </w:rPr>
        <w:lastRenderedPageBreak/>
        <w:t>zinc. Soil Fertilizer, 1, 3</w:t>
      </w:r>
      <w:r w:rsidRPr="00D41F02">
        <w:rPr>
          <w:rFonts w:cs="Times New Roman" w:hint="eastAsia"/>
          <w:noProof/>
          <w:kern w:val="0"/>
          <w:szCs w:val="24"/>
        </w:rPr>
        <w:t>‐</w:t>
      </w:r>
      <w:r w:rsidRPr="00D41F02">
        <w:rPr>
          <w:rFonts w:cs="Times New Roman"/>
          <w:noProof/>
          <w:kern w:val="0"/>
          <w:szCs w:val="24"/>
        </w:rPr>
        <w:t>6+9.</w:t>
      </w:r>
    </w:p>
    <w:p w14:paraId="4F0B6D43" w14:textId="3BDD4749" w:rsid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Wang, S. V </w:t>
      </w:r>
      <w:r w:rsidRPr="0094296D">
        <w:rPr>
          <w:rFonts w:cs="Times New Roman"/>
          <w:i/>
          <w:iCs/>
          <w:noProof/>
          <w:kern w:val="0"/>
          <w:szCs w:val="24"/>
        </w:rPr>
        <w:t>et al.</w:t>
      </w:r>
      <w:r w:rsidRPr="0094296D">
        <w:rPr>
          <w:rFonts w:cs="Times New Roman"/>
          <w:noProof/>
          <w:kern w:val="0"/>
          <w:szCs w:val="24"/>
        </w:rPr>
        <w:t xml:space="preserve"> (2019) ‘Using real‐world data to extrapolate evidence from randomized controlled trials’, </w:t>
      </w:r>
      <w:r w:rsidRPr="0094296D">
        <w:rPr>
          <w:rFonts w:cs="Times New Roman"/>
          <w:i/>
          <w:iCs/>
          <w:noProof/>
          <w:kern w:val="0"/>
          <w:szCs w:val="24"/>
        </w:rPr>
        <w:t>Clinical Pharmacology &amp; Therapeutics</w:t>
      </w:r>
      <w:r w:rsidRPr="0094296D">
        <w:rPr>
          <w:rFonts w:cs="Times New Roman"/>
          <w:noProof/>
          <w:kern w:val="0"/>
          <w:szCs w:val="24"/>
        </w:rPr>
        <w:t>, 105(5), pp. 1156–1163.</w:t>
      </w:r>
    </w:p>
    <w:p w14:paraId="5FD9F7B6" w14:textId="31FED829" w:rsidR="00D41F02" w:rsidRPr="0094296D" w:rsidRDefault="00D41F02" w:rsidP="0094296D">
      <w:pPr>
        <w:autoSpaceDE w:val="0"/>
        <w:autoSpaceDN w:val="0"/>
        <w:adjustRightInd w:val="0"/>
        <w:ind w:firstLine="480"/>
        <w:jc w:val="left"/>
        <w:rPr>
          <w:rFonts w:cs="Times New Roman"/>
          <w:noProof/>
          <w:kern w:val="0"/>
          <w:szCs w:val="24"/>
        </w:rPr>
      </w:pPr>
      <w:r w:rsidRPr="00D41F02">
        <w:rPr>
          <w:rFonts w:cs="Times New Roman"/>
          <w:noProof/>
          <w:kern w:val="0"/>
          <w:szCs w:val="24"/>
        </w:rPr>
        <w:t>Wang, H. et al. (2017) ‘Do Chinese children get enough micronutrients?’, Nutrients, 9(4), p. 397.</w:t>
      </w:r>
    </w:p>
    <w:p w14:paraId="046B8859" w14:textId="5F75D9BF"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Wang, Y. H. </w:t>
      </w:r>
      <w:r w:rsidRPr="0094296D">
        <w:rPr>
          <w:rFonts w:cs="Times New Roman"/>
          <w:i/>
          <w:iCs/>
          <w:noProof/>
          <w:kern w:val="0"/>
          <w:szCs w:val="24"/>
        </w:rPr>
        <w:t>et al.</w:t>
      </w:r>
      <w:r w:rsidRPr="0094296D">
        <w:rPr>
          <w:rFonts w:cs="Times New Roman"/>
          <w:noProof/>
          <w:kern w:val="0"/>
          <w:szCs w:val="24"/>
        </w:rPr>
        <w:t xml:space="preserve"> (2016) ‘Cost of agronomic biofortification of wheat with zinc in China’, </w:t>
      </w:r>
      <w:r w:rsidRPr="0094296D">
        <w:rPr>
          <w:rFonts w:cs="Times New Roman"/>
          <w:i/>
          <w:iCs/>
          <w:noProof/>
          <w:kern w:val="0"/>
          <w:szCs w:val="24"/>
        </w:rPr>
        <w:t>Agronomy for Sustainable Development</w:t>
      </w:r>
      <w:r w:rsidRPr="0094296D">
        <w:rPr>
          <w:rFonts w:cs="Times New Roman"/>
          <w:noProof/>
          <w:kern w:val="0"/>
          <w:szCs w:val="24"/>
        </w:rPr>
        <w:t>, 36(3).</w:t>
      </w:r>
    </w:p>
    <w:p w14:paraId="2C5A6C1D"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Willoughby, J. L. and Bowen, C. N. (2014) ‘Zinc deficiency and toxicity in pediatric practice’, </w:t>
      </w:r>
      <w:r w:rsidRPr="0094296D">
        <w:rPr>
          <w:rFonts w:cs="Times New Roman"/>
          <w:i/>
          <w:iCs/>
          <w:noProof/>
          <w:kern w:val="0"/>
          <w:szCs w:val="24"/>
        </w:rPr>
        <w:t>Current opinion in pediatrics</w:t>
      </w:r>
      <w:r w:rsidRPr="0094296D">
        <w:rPr>
          <w:rFonts w:cs="Times New Roman"/>
          <w:noProof/>
          <w:kern w:val="0"/>
          <w:szCs w:val="24"/>
        </w:rPr>
        <w:t>, 26(5), pp. 579–584.</w:t>
      </w:r>
    </w:p>
    <w:p w14:paraId="23F26DB4"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Yakoob, M. Y. </w:t>
      </w:r>
      <w:r w:rsidRPr="0094296D">
        <w:rPr>
          <w:rFonts w:cs="Times New Roman"/>
          <w:i/>
          <w:iCs/>
          <w:noProof/>
          <w:kern w:val="0"/>
          <w:szCs w:val="24"/>
        </w:rPr>
        <w:t>et al.</w:t>
      </w:r>
      <w:r w:rsidRPr="0094296D">
        <w:rPr>
          <w:rFonts w:cs="Times New Roman"/>
          <w:noProof/>
          <w:kern w:val="0"/>
          <w:szCs w:val="24"/>
        </w:rPr>
        <w:t xml:space="preserve"> (2011) ‘Preventive zinc supplementation in developing countries: impact on mortality and morbidity due to diarrhea, pneumonia and malaria’, </w:t>
      </w:r>
      <w:r w:rsidRPr="0094296D">
        <w:rPr>
          <w:rFonts w:cs="Times New Roman"/>
          <w:i/>
          <w:iCs/>
          <w:noProof/>
          <w:kern w:val="0"/>
          <w:szCs w:val="24"/>
        </w:rPr>
        <w:t>BMC Public health</w:t>
      </w:r>
      <w:r w:rsidRPr="0094296D">
        <w:rPr>
          <w:rFonts w:cs="Times New Roman"/>
          <w:noProof/>
          <w:kern w:val="0"/>
          <w:szCs w:val="24"/>
        </w:rPr>
        <w:t>, 11(3), pp. 1–10.</w:t>
      </w:r>
    </w:p>
    <w:p w14:paraId="26674BB6"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Yan, C. (2021) </w:t>
      </w:r>
      <w:r w:rsidRPr="0094296D">
        <w:rPr>
          <w:rFonts w:cs="Times New Roman"/>
          <w:i/>
          <w:iCs/>
          <w:noProof/>
          <w:kern w:val="0"/>
          <w:szCs w:val="24"/>
        </w:rPr>
        <w:t>Meta-Analysis of Zinc Deficiency Status and its Influence Factors among Children in Mainland China in the past 15 years</w:t>
      </w:r>
      <w:r w:rsidRPr="0094296D">
        <w:rPr>
          <w:rFonts w:cs="Times New Roman"/>
          <w:noProof/>
          <w:kern w:val="0"/>
          <w:szCs w:val="24"/>
        </w:rPr>
        <w:t>. Fujian Medical University.</w:t>
      </w:r>
    </w:p>
    <w:p w14:paraId="0A772A70" w14:textId="3CAAA002" w:rsidR="00AB703B" w:rsidRPr="00AB703B" w:rsidRDefault="0094296D" w:rsidP="00AB703B">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Yao, Q. </w:t>
      </w:r>
      <w:r w:rsidRPr="0094296D">
        <w:rPr>
          <w:rFonts w:cs="Times New Roman"/>
          <w:i/>
          <w:iCs/>
          <w:noProof/>
          <w:kern w:val="0"/>
          <w:szCs w:val="24"/>
        </w:rPr>
        <w:t>et al.</w:t>
      </w:r>
      <w:r w:rsidRPr="0094296D">
        <w:rPr>
          <w:rFonts w:cs="Times New Roman"/>
          <w:noProof/>
          <w:kern w:val="0"/>
          <w:szCs w:val="24"/>
        </w:rPr>
        <w:t xml:space="preserve"> (2019) ‘Changes in health</w:t>
      </w:r>
      <w:r w:rsidR="00AB703B" w:rsidRPr="00AB703B">
        <w:t xml:space="preserve"> </w:t>
      </w:r>
      <w:r w:rsidR="00AB703B" w:rsidRPr="00AB703B">
        <w:rPr>
          <w:rFonts w:cs="Times New Roman"/>
          <w:noProof/>
          <w:kern w:val="0"/>
          <w:szCs w:val="24"/>
        </w:rPr>
        <w:t>Adenle, A. A., Morris, E. J., &amp; Parayil, G. (2013). Status of development, regulation and adoption of GM agriculture in Africa:Views and positions of stakeholder groups. Food Policy, 43, 159–166.</w:t>
      </w:r>
    </w:p>
    <w:p w14:paraId="4B9591A6" w14:textId="77777777" w:rsidR="0094296D" w:rsidRPr="0094296D" w:rsidRDefault="0094296D" w:rsidP="0094296D">
      <w:pPr>
        <w:autoSpaceDE w:val="0"/>
        <w:autoSpaceDN w:val="0"/>
        <w:adjustRightInd w:val="0"/>
        <w:ind w:firstLine="480"/>
        <w:jc w:val="left"/>
        <w:rPr>
          <w:rFonts w:cs="Times New Roman"/>
          <w:noProof/>
          <w:kern w:val="0"/>
          <w:szCs w:val="24"/>
        </w:rPr>
      </w:pPr>
      <w:r w:rsidRPr="0094296D">
        <w:rPr>
          <w:rFonts w:cs="Times New Roman"/>
          <w:noProof/>
          <w:kern w:val="0"/>
          <w:szCs w:val="24"/>
        </w:rPr>
        <w:t xml:space="preserve">Zhang, Y. </w:t>
      </w:r>
      <w:r w:rsidRPr="0094296D">
        <w:rPr>
          <w:rFonts w:cs="Times New Roman"/>
          <w:i/>
          <w:iCs/>
          <w:noProof/>
          <w:kern w:val="0"/>
          <w:szCs w:val="24"/>
        </w:rPr>
        <w:t>et al.</w:t>
      </w:r>
      <w:r w:rsidRPr="0094296D">
        <w:rPr>
          <w:rFonts w:cs="Times New Roman"/>
          <w:noProof/>
          <w:kern w:val="0"/>
          <w:szCs w:val="24"/>
        </w:rPr>
        <w:t xml:space="preserve"> (2018) ‘Double burden of malnutrition among children under 5 in poor areas of China’, </w:t>
      </w:r>
      <w:r w:rsidRPr="0094296D">
        <w:rPr>
          <w:rFonts w:cs="Times New Roman"/>
          <w:i/>
          <w:iCs/>
          <w:noProof/>
          <w:kern w:val="0"/>
          <w:szCs w:val="24"/>
        </w:rPr>
        <w:t>PLoS One</w:t>
      </w:r>
      <w:r w:rsidRPr="0094296D">
        <w:rPr>
          <w:rFonts w:cs="Times New Roman"/>
          <w:noProof/>
          <w:kern w:val="0"/>
          <w:szCs w:val="24"/>
        </w:rPr>
        <w:t>, 13(9), p. e0204142.</w:t>
      </w:r>
    </w:p>
    <w:p w14:paraId="440178C0" w14:textId="7DD00D9E" w:rsidR="0094296D" w:rsidRPr="0094296D" w:rsidRDefault="0094296D" w:rsidP="0094296D">
      <w:pPr>
        <w:autoSpaceDE w:val="0"/>
        <w:autoSpaceDN w:val="0"/>
        <w:adjustRightInd w:val="0"/>
        <w:ind w:firstLine="480"/>
        <w:jc w:val="left"/>
        <w:rPr>
          <w:rFonts w:cs="Times New Roman"/>
          <w:noProof/>
        </w:rPr>
      </w:pPr>
      <w:r w:rsidRPr="0094296D">
        <w:rPr>
          <w:rFonts w:cs="Times New Roman"/>
          <w:noProof/>
          <w:kern w:val="0"/>
          <w:szCs w:val="24"/>
        </w:rPr>
        <w:t xml:space="preserve">Zheng, Z. </w:t>
      </w:r>
      <w:r w:rsidRPr="0094296D">
        <w:rPr>
          <w:rFonts w:cs="Times New Roman"/>
          <w:i/>
          <w:iCs/>
          <w:noProof/>
          <w:kern w:val="0"/>
          <w:szCs w:val="24"/>
        </w:rPr>
        <w:t>et al.</w:t>
      </w:r>
      <w:r w:rsidRPr="0094296D">
        <w:rPr>
          <w:rFonts w:cs="Times New Roman"/>
          <w:noProof/>
          <w:kern w:val="0"/>
          <w:szCs w:val="24"/>
        </w:rPr>
        <w:t xml:space="preserve"> (2018) ‘Consumer Demand for Genetically Modified Rice in Urban China’, </w:t>
      </w:r>
      <w:r w:rsidRPr="0094296D">
        <w:rPr>
          <w:rFonts w:cs="Times New Roman"/>
          <w:i/>
          <w:iCs/>
          <w:noProof/>
          <w:kern w:val="0"/>
          <w:szCs w:val="24"/>
        </w:rPr>
        <w:t>Journal of Agricultural Economics</w:t>
      </w:r>
      <w:r w:rsidRPr="0094296D">
        <w:rPr>
          <w:rFonts w:cs="Times New Roman"/>
          <w:noProof/>
          <w:kern w:val="0"/>
          <w:szCs w:val="24"/>
        </w:rPr>
        <w:t xml:space="preserve">, 69(3), pp. 705–725. </w:t>
      </w:r>
    </w:p>
    <w:p w14:paraId="3E88E3D6" w14:textId="683F052D" w:rsidR="008A12F1" w:rsidRPr="00A33623" w:rsidRDefault="008A12F1" w:rsidP="00712166">
      <w:pPr>
        <w:suppressLineNumbers/>
        <w:ind w:left="480" w:hangingChars="200" w:hanging="480"/>
        <w:rPr>
          <w:rFonts w:eastAsiaTheme="minorEastAsia"/>
        </w:rPr>
        <w:sectPr w:rsidR="008A12F1" w:rsidRPr="00A33623" w:rsidSect="0038366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lnNumType w:countBy="1"/>
          <w:cols w:space="425"/>
          <w:titlePg/>
          <w:docGrid w:type="lines" w:linePitch="326"/>
        </w:sectPr>
      </w:pPr>
      <w:r>
        <w:rPr>
          <w:rFonts w:eastAsiaTheme="minorEastAsia"/>
        </w:rPr>
        <w:fldChar w:fldCharType="end"/>
      </w:r>
    </w:p>
    <w:p w14:paraId="3E88E464" w14:textId="77777777" w:rsidR="00035381" w:rsidRPr="003008C2" w:rsidRDefault="00035381" w:rsidP="005E562C">
      <w:pPr>
        <w:suppressLineNumbers/>
        <w:ind w:firstLineChars="0" w:firstLine="0"/>
        <w:jc w:val="left"/>
        <w:rPr>
          <w:rFonts w:eastAsiaTheme="minorEastAsia" w:cs="Times New Roman"/>
          <w:b/>
          <w:bCs/>
          <w:szCs w:val="24"/>
        </w:rPr>
      </w:pPr>
    </w:p>
    <w:sectPr w:rsidR="00035381" w:rsidRPr="003008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D7FA" w14:textId="77777777" w:rsidR="00CE21EC" w:rsidRDefault="00CE21EC" w:rsidP="00565304">
      <w:pPr>
        <w:ind w:firstLine="480"/>
      </w:pPr>
      <w:r>
        <w:separator/>
      </w:r>
    </w:p>
  </w:endnote>
  <w:endnote w:type="continuationSeparator" w:id="0">
    <w:p w14:paraId="7D83456A" w14:textId="77777777" w:rsidR="00CE21EC" w:rsidRDefault="00CE21EC" w:rsidP="00565304">
      <w:pPr>
        <w:ind w:firstLine="480"/>
      </w:pPr>
      <w:r>
        <w:continuationSeparator/>
      </w:r>
    </w:p>
  </w:endnote>
  <w:endnote w:type="continuationNotice" w:id="1">
    <w:p w14:paraId="2C7F9E1C" w14:textId="77777777" w:rsidR="00CE21EC" w:rsidRDefault="00CE21EC">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33B5" w14:textId="77777777" w:rsidR="009B580D" w:rsidRDefault="009B58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4052" w14:textId="77777777" w:rsidR="009B580D" w:rsidRDefault="009B580D">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49F2" w14:textId="65621A8D" w:rsidR="009B580D" w:rsidRPr="0066327F" w:rsidRDefault="009B580D" w:rsidP="0066327F">
    <w:pPr>
      <w:pStyle w:val="Footer"/>
      <w:ind w:firstLine="360"/>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DAC4" w14:textId="77777777" w:rsidR="00CE21EC" w:rsidRDefault="00CE21EC" w:rsidP="00565304">
      <w:pPr>
        <w:ind w:firstLine="480"/>
      </w:pPr>
      <w:r>
        <w:separator/>
      </w:r>
    </w:p>
  </w:footnote>
  <w:footnote w:type="continuationSeparator" w:id="0">
    <w:p w14:paraId="48C358A0" w14:textId="77777777" w:rsidR="00CE21EC" w:rsidRDefault="00CE21EC" w:rsidP="00565304">
      <w:pPr>
        <w:ind w:firstLine="480"/>
      </w:pPr>
      <w:r>
        <w:continuationSeparator/>
      </w:r>
    </w:p>
  </w:footnote>
  <w:footnote w:type="continuationNotice" w:id="1">
    <w:p w14:paraId="6EEF2367" w14:textId="77777777" w:rsidR="00CE21EC" w:rsidRDefault="00CE21EC">
      <w:pPr>
        <w:ind w:firstLine="480"/>
      </w:pPr>
    </w:p>
  </w:footnote>
  <w:footnote w:id="2">
    <w:p w14:paraId="49948977" w14:textId="77777777" w:rsidR="0065057A" w:rsidRPr="000C1B00" w:rsidRDefault="0065057A" w:rsidP="0065057A">
      <w:pPr>
        <w:pStyle w:val="FootnoteText"/>
        <w:ind w:firstLine="360"/>
        <w:rPr>
          <w:rFonts w:eastAsiaTheme="minorEastAsia"/>
        </w:rPr>
      </w:pPr>
      <w:r w:rsidRPr="003B1EB0">
        <w:rPr>
          <w:rStyle w:val="FootnoteReference"/>
        </w:rPr>
        <w:footnoteRef/>
      </w:r>
      <w:r>
        <w:t xml:space="preserve"> </w:t>
      </w:r>
      <w:r w:rsidRPr="00BB78EE">
        <w:rPr>
          <w:rFonts w:eastAsiaTheme="minorEastAsia"/>
        </w:rPr>
        <w:t>It is noted that new cases of IDA incurred by excessive intake have not been considered in this estimation mostly due to the lack of dose-response evidence about the impact of consuming zinc biofortified and fortified foods.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655A" w14:textId="77777777" w:rsidR="009B580D" w:rsidRDefault="009B580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DB04" w14:textId="77777777" w:rsidR="009B580D" w:rsidRDefault="009B580D">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0519" w14:textId="77777777" w:rsidR="009B580D" w:rsidRDefault="009B580D">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611A"/>
    <w:multiLevelType w:val="multilevel"/>
    <w:tmpl w:val="53FE8A7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1B694C89"/>
    <w:multiLevelType w:val="multilevel"/>
    <w:tmpl w:val="B1886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732678"/>
    <w:multiLevelType w:val="hybridMultilevel"/>
    <w:tmpl w:val="303846B2"/>
    <w:lvl w:ilvl="0" w:tplc="F2E2888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5DB11430"/>
    <w:multiLevelType w:val="hybridMultilevel"/>
    <w:tmpl w:val="F5AE9CB2"/>
    <w:lvl w:ilvl="0" w:tplc="406CBCF8">
      <w:start w:val="1"/>
      <w:numFmt w:val="decimal"/>
      <w:lvlText w:val="%1."/>
      <w:lvlJc w:val="left"/>
      <w:pPr>
        <w:ind w:left="842" w:hanging="36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4" w15:restartNumberingAfterBreak="0">
    <w:nsid w:val="653576BC"/>
    <w:multiLevelType w:val="multilevel"/>
    <w:tmpl w:val="653576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6995023"/>
    <w:multiLevelType w:val="hybridMultilevel"/>
    <w:tmpl w:val="2E2C94AE"/>
    <w:lvl w:ilvl="0" w:tplc="987A1D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02050598">
    <w:abstractNumId w:val="4"/>
  </w:num>
  <w:num w:numId="2" w16cid:durableId="2016573351">
    <w:abstractNumId w:val="5"/>
  </w:num>
  <w:num w:numId="3" w16cid:durableId="1326665617">
    <w:abstractNumId w:val="0"/>
  </w:num>
  <w:num w:numId="4" w16cid:durableId="114755373">
    <w:abstractNumId w:val="1"/>
  </w:num>
  <w:num w:numId="5" w16cid:durableId="1896116961">
    <w:abstractNumId w:val="2"/>
  </w:num>
  <w:num w:numId="6" w16cid:durableId="1563709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hyphenationZone w:val="425"/>
  <w:drawingGridHorizontalSpacing w:val="120"/>
  <w:drawingGridVerticalSpacing w:val="163"/>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NTCztDAztTA0NjZU0lEKTi0uzszPAykwrQUAmwh4PCwAAAA="/>
    <w:docVar w:name="commondata" w:val="eyJoZGlkIjoiYzBiNjdmMGFlNGU3MGQzYzJmOWQxMTQyYzU1MGUzYzMifQ=="/>
  </w:docVars>
  <w:rsids>
    <w:rsidRoot w:val="00593396"/>
    <w:rsid w:val="00000327"/>
    <w:rsid w:val="00001DF5"/>
    <w:rsid w:val="00003E3B"/>
    <w:rsid w:val="00004E1F"/>
    <w:rsid w:val="000064D3"/>
    <w:rsid w:val="000068C3"/>
    <w:rsid w:val="00006E7E"/>
    <w:rsid w:val="0001029A"/>
    <w:rsid w:val="00010E6A"/>
    <w:rsid w:val="000127EE"/>
    <w:rsid w:val="00013738"/>
    <w:rsid w:val="00013922"/>
    <w:rsid w:val="00014E8C"/>
    <w:rsid w:val="00015BA4"/>
    <w:rsid w:val="000173E6"/>
    <w:rsid w:val="00020EFC"/>
    <w:rsid w:val="00021D98"/>
    <w:rsid w:val="0002200D"/>
    <w:rsid w:val="00024654"/>
    <w:rsid w:val="0002479B"/>
    <w:rsid w:val="00024BC0"/>
    <w:rsid w:val="00025684"/>
    <w:rsid w:val="00025BB2"/>
    <w:rsid w:val="00033955"/>
    <w:rsid w:val="000339B4"/>
    <w:rsid w:val="000346EC"/>
    <w:rsid w:val="00034ACD"/>
    <w:rsid w:val="00035381"/>
    <w:rsid w:val="00035791"/>
    <w:rsid w:val="0003681E"/>
    <w:rsid w:val="00037186"/>
    <w:rsid w:val="0003731C"/>
    <w:rsid w:val="0004049D"/>
    <w:rsid w:val="00041851"/>
    <w:rsid w:val="00041D85"/>
    <w:rsid w:val="000421DC"/>
    <w:rsid w:val="000441E1"/>
    <w:rsid w:val="00046B2C"/>
    <w:rsid w:val="00047861"/>
    <w:rsid w:val="00047E29"/>
    <w:rsid w:val="00050364"/>
    <w:rsid w:val="00050529"/>
    <w:rsid w:val="00050CDB"/>
    <w:rsid w:val="000510B7"/>
    <w:rsid w:val="0005226B"/>
    <w:rsid w:val="00052E02"/>
    <w:rsid w:val="0005458E"/>
    <w:rsid w:val="000550E9"/>
    <w:rsid w:val="00055907"/>
    <w:rsid w:val="00055DAB"/>
    <w:rsid w:val="00056347"/>
    <w:rsid w:val="000575C9"/>
    <w:rsid w:val="0006087F"/>
    <w:rsid w:val="0006149B"/>
    <w:rsid w:val="000636F4"/>
    <w:rsid w:val="00065254"/>
    <w:rsid w:val="00066A26"/>
    <w:rsid w:val="00066BB0"/>
    <w:rsid w:val="00067067"/>
    <w:rsid w:val="000705A9"/>
    <w:rsid w:val="000706E9"/>
    <w:rsid w:val="00070C0D"/>
    <w:rsid w:val="00070E62"/>
    <w:rsid w:val="00071699"/>
    <w:rsid w:val="00071B21"/>
    <w:rsid w:val="00072E00"/>
    <w:rsid w:val="000744D8"/>
    <w:rsid w:val="00077C6F"/>
    <w:rsid w:val="00082409"/>
    <w:rsid w:val="00082936"/>
    <w:rsid w:val="00091D5A"/>
    <w:rsid w:val="00092528"/>
    <w:rsid w:val="00095251"/>
    <w:rsid w:val="000954E3"/>
    <w:rsid w:val="00096840"/>
    <w:rsid w:val="000A0B0F"/>
    <w:rsid w:val="000A1EE0"/>
    <w:rsid w:val="000A2D59"/>
    <w:rsid w:val="000A3F44"/>
    <w:rsid w:val="000A6964"/>
    <w:rsid w:val="000A75F6"/>
    <w:rsid w:val="000B170B"/>
    <w:rsid w:val="000B2D12"/>
    <w:rsid w:val="000B373A"/>
    <w:rsid w:val="000B4771"/>
    <w:rsid w:val="000B6F86"/>
    <w:rsid w:val="000C178E"/>
    <w:rsid w:val="000C1B00"/>
    <w:rsid w:val="000C3ED6"/>
    <w:rsid w:val="000D03C1"/>
    <w:rsid w:val="000D0CE6"/>
    <w:rsid w:val="000D0F93"/>
    <w:rsid w:val="000D15BF"/>
    <w:rsid w:val="000D4433"/>
    <w:rsid w:val="000D4986"/>
    <w:rsid w:val="000D4F05"/>
    <w:rsid w:val="000D559D"/>
    <w:rsid w:val="000D62DC"/>
    <w:rsid w:val="000E1352"/>
    <w:rsid w:val="000E1BBC"/>
    <w:rsid w:val="000E3E37"/>
    <w:rsid w:val="000E3F55"/>
    <w:rsid w:val="000E4E7D"/>
    <w:rsid w:val="000E5F26"/>
    <w:rsid w:val="000E6865"/>
    <w:rsid w:val="000E689E"/>
    <w:rsid w:val="000E6A3C"/>
    <w:rsid w:val="000E6F83"/>
    <w:rsid w:val="000F004E"/>
    <w:rsid w:val="000F09DD"/>
    <w:rsid w:val="000F1FD8"/>
    <w:rsid w:val="000F345A"/>
    <w:rsid w:val="000F4905"/>
    <w:rsid w:val="000F5106"/>
    <w:rsid w:val="000F594B"/>
    <w:rsid w:val="000F5DE1"/>
    <w:rsid w:val="000F73D5"/>
    <w:rsid w:val="000F7EBA"/>
    <w:rsid w:val="00100B77"/>
    <w:rsid w:val="00100C52"/>
    <w:rsid w:val="00101759"/>
    <w:rsid w:val="00101907"/>
    <w:rsid w:val="00102528"/>
    <w:rsid w:val="001027F4"/>
    <w:rsid w:val="00102D71"/>
    <w:rsid w:val="0010357D"/>
    <w:rsid w:val="00103AD3"/>
    <w:rsid w:val="00104496"/>
    <w:rsid w:val="00104729"/>
    <w:rsid w:val="00107D21"/>
    <w:rsid w:val="001115CE"/>
    <w:rsid w:val="00113116"/>
    <w:rsid w:val="00113B42"/>
    <w:rsid w:val="0011446D"/>
    <w:rsid w:val="001164E0"/>
    <w:rsid w:val="001166B5"/>
    <w:rsid w:val="00117196"/>
    <w:rsid w:val="00117B85"/>
    <w:rsid w:val="0012054A"/>
    <w:rsid w:val="00120D0B"/>
    <w:rsid w:val="00123394"/>
    <w:rsid w:val="00126725"/>
    <w:rsid w:val="00126897"/>
    <w:rsid w:val="0013046C"/>
    <w:rsid w:val="0013154F"/>
    <w:rsid w:val="00131FAA"/>
    <w:rsid w:val="00132614"/>
    <w:rsid w:val="00133258"/>
    <w:rsid w:val="0013344B"/>
    <w:rsid w:val="0013448D"/>
    <w:rsid w:val="001344A8"/>
    <w:rsid w:val="001379F5"/>
    <w:rsid w:val="0014091F"/>
    <w:rsid w:val="00141D33"/>
    <w:rsid w:val="00142593"/>
    <w:rsid w:val="00143C2A"/>
    <w:rsid w:val="00143F48"/>
    <w:rsid w:val="00145FA5"/>
    <w:rsid w:val="001475FF"/>
    <w:rsid w:val="00150517"/>
    <w:rsid w:val="001518AD"/>
    <w:rsid w:val="00151C4A"/>
    <w:rsid w:val="001525F6"/>
    <w:rsid w:val="001545A2"/>
    <w:rsid w:val="00155653"/>
    <w:rsid w:val="0015597A"/>
    <w:rsid w:val="001562F9"/>
    <w:rsid w:val="001569B0"/>
    <w:rsid w:val="001601B1"/>
    <w:rsid w:val="0016024A"/>
    <w:rsid w:val="00160A2E"/>
    <w:rsid w:val="00160D51"/>
    <w:rsid w:val="001625AE"/>
    <w:rsid w:val="001631F6"/>
    <w:rsid w:val="0016379B"/>
    <w:rsid w:val="001638CC"/>
    <w:rsid w:val="001706A3"/>
    <w:rsid w:val="00171998"/>
    <w:rsid w:val="001732EA"/>
    <w:rsid w:val="0017725D"/>
    <w:rsid w:val="00177969"/>
    <w:rsid w:val="001815F7"/>
    <w:rsid w:val="00181F14"/>
    <w:rsid w:val="00182EB9"/>
    <w:rsid w:val="0018323B"/>
    <w:rsid w:val="0018413D"/>
    <w:rsid w:val="001846F7"/>
    <w:rsid w:val="00185312"/>
    <w:rsid w:val="0019377F"/>
    <w:rsid w:val="00193A63"/>
    <w:rsid w:val="00193F43"/>
    <w:rsid w:val="00193FD7"/>
    <w:rsid w:val="00196375"/>
    <w:rsid w:val="001968CD"/>
    <w:rsid w:val="0019798C"/>
    <w:rsid w:val="001A025D"/>
    <w:rsid w:val="001A170E"/>
    <w:rsid w:val="001A20B6"/>
    <w:rsid w:val="001A3367"/>
    <w:rsid w:val="001A3DD8"/>
    <w:rsid w:val="001A5129"/>
    <w:rsid w:val="001A5CF7"/>
    <w:rsid w:val="001A7133"/>
    <w:rsid w:val="001B08B3"/>
    <w:rsid w:val="001B0C62"/>
    <w:rsid w:val="001B15F0"/>
    <w:rsid w:val="001B1956"/>
    <w:rsid w:val="001B21E0"/>
    <w:rsid w:val="001B44D3"/>
    <w:rsid w:val="001B4892"/>
    <w:rsid w:val="001B60B8"/>
    <w:rsid w:val="001C1F69"/>
    <w:rsid w:val="001C2A95"/>
    <w:rsid w:val="001C38F6"/>
    <w:rsid w:val="001C3B16"/>
    <w:rsid w:val="001C3BD3"/>
    <w:rsid w:val="001C459A"/>
    <w:rsid w:val="001C4AE0"/>
    <w:rsid w:val="001C4D11"/>
    <w:rsid w:val="001C50C8"/>
    <w:rsid w:val="001C6567"/>
    <w:rsid w:val="001C7375"/>
    <w:rsid w:val="001C751C"/>
    <w:rsid w:val="001D0D38"/>
    <w:rsid w:val="001D2101"/>
    <w:rsid w:val="001D24B0"/>
    <w:rsid w:val="001D31E4"/>
    <w:rsid w:val="001D3382"/>
    <w:rsid w:val="001D4DE8"/>
    <w:rsid w:val="001D65EC"/>
    <w:rsid w:val="001D685D"/>
    <w:rsid w:val="001E0386"/>
    <w:rsid w:val="001E1C5B"/>
    <w:rsid w:val="001E20B9"/>
    <w:rsid w:val="001E58F7"/>
    <w:rsid w:val="001E593F"/>
    <w:rsid w:val="001E5CBD"/>
    <w:rsid w:val="001E661E"/>
    <w:rsid w:val="001E7A7F"/>
    <w:rsid w:val="001F1002"/>
    <w:rsid w:val="001F365F"/>
    <w:rsid w:val="001F3C18"/>
    <w:rsid w:val="001F4345"/>
    <w:rsid w:val="001F57CC"/>
    <w:rsid w:val="001F6C6B"/>
    <w:rsid w:val="001F7034"/>
    <w:rsid w:val="001F71CD"/>
    <w:rsid w:val="001F7DEE"/>
    <w:rsid w:val="002004C8"/>
    <w:rsid w:val="00200904"/>
    <w:rsid w:val="00200D84"/>
    <w:rsid w:val="002020EA"/>
    <w:rsid w:val="002049CE"/>
    <w:rsid w:val="00205751"/>
    <w:rsid w:val="0020590A"/>
    <w:rsid w:val="00205DB1"/>
    <w:rsid w:val="00206B14"/>
    <w:rsid w:val="00207DE0"/>
    <w:rsid w:val="00210472"/>
    <w:rsid w:val="0021054C"/>
    <w:rsid w:val="00211991"/>
    <w:rsid w:val="00212664"/>
    <w:rsid w:val="00212672"/>
    <w:rsid w:val="002151BB"/>
    <w:rsid w:val="0022073C"/>
    <w:rsid w:val="00222609"/>
    <w:rsid w:val="00222953"/>
    <w:rsid w:val="00222D00"/>
    <w:rsid w:val="00223C24"/>
    <w:rsid w:val="00224078"/>
    <w:rsid w:val="00224B06"/>
    <w:rsid w:val="00224DF3"/>
    <w:rsid w:val="00225065"/>
    <w:rsid w:val="00225463"/>
    <w:rsid w:val="0022698B"/>
    <w:rsid w:val="00226D32"/>
    <w:rsid w:val="002273CF"/>
    <w:rsid w:val="002318FC"/>
    <w:rsid w:val="00232E8F"/>
    <w:rsid w:val="00233077"/>
    <w:rsid w:val="0023456B"/>
    <w:rsid w:val="002345D7"/>
    <w:rsid w:val="00235121"/>
    <w:rsid w:val="00235B99"/>
    <w:rsid w:val="00237ADC"/>
    <w:rsid w:val="0024056E"/>
    <w:rsid w:val="002427A5"/>
    <w:rsid w:val="00243CE9"/>
    <w:rsid w:val="00243D3D"/>
    <w:rsid w:val="002454C2"/>
    <w:rsid w:val="002454F8"/>
    <w:rsid w:val="002455B7"/>
    <w:rsid w:val="00245A42"/>
    <w:rsid w:val="00245D55"/>
    <w:rsid w:val="002463B6"/>
    <w:rsid w:val="00246FCE"/>
    <w:rsid w:val="002478EC"/>
    <w:rsid w:val="00250270"/>
    <w:rsid w:val="00250E52"/>
    <w:rsid w:val="00252CA2"/>
    <w:rsid w:val="002536B4"/>
    <w:rsid w:val="00253B81"/>
    <w:rsid w:val="002546B9"/>
    <w:rsid w:val="002558ED"/>
    <w:rsid w:val="00255A5D"/>
    <w:rsid w:val="00256365"/>
    <w:rsid w:val="002621AA"/>
    <w:rsid w:val="0026400B"/>
    <w:rsid w:val="002646ED"/>
    <w:rsid w:val="00264752"/>
    <w:rsid w:val="00265D26"/>
    <w:rsid w:val="00266DE9"/>
    <w:rsid w:val="002670C7"/>
    <w:rsid w:val="0026796E"/>
    <w:rsid w:val="0027061C"/>
    <w:rsid w:val="00272131"/>
    <w:rsid w:val="00272146"/>
    <w:rsid w:val="00273BBB"/>
    <w:rsid w:val="00276B6A"/>
    <w:rsid w:val="00277AE8"/>
    <w:rsid w:val="00277DF0"/>
    <w:rsid w:val="00281B31"/>
    <w:rsid w:val="00282292"/>
    <w:rsid w:val="00282632"/>
    <w:rsid w:val="002831FC"/>
    <w:rsid w:val="00283A28"/>
    <w:rsid w:val="00283CAA"/>
    <w:rsid w:val="00285165"/>
    <w:rsid w:val="00287326"/>
    <w:rsid w:val="002876B4"/>
    <w:rsid w:val="00287C92"/>
    <w:rsid w:val="00291077"/>
    <w:rsid w:val="00293C37"/>
    <w:rsid w:val="00293C45"/>
    <w:rsid w:val="0029434F"/>
    <w:rsid w:val="0029640B"/>
    <w:rsid w:val="00296767"/>
    <w:rsid w:val="00296A14"/>
    <w:rsid w:val="00297944"/>
    <w:rsid w:val="002A04C6"/>
    <w:rsid w:val="002A100E"/>
    <w:rsid w:val="002A1339"/>
    <w:rsid w:val="002A2DFB"/>
    <w:rsid w:val="002A42F2"/>
    <w:rsid w:val="002A4527"/>
    <w:rsid w:val="002A5DD0"/>
    <w:rsid w:val="002A67CC"/>
    <w:rsid w:val="002B0EEA"/>
    <w:rsid w:val="002B16D6"/>
    <w:rsid w:val="002B308C"/>
    <w:rsid w:val="002B323B"/>
    <w:rsid w:val="002B5776"/>
    <w:rsid w:val="002B7C1B"/>
    <w:rsid w:val="002B7F91"/>
    <w:rsid w:val="002C01FC"/>
    <w:rsid w:val="002C0D6E"/>
    <w:rsid w:val="002C34E6"/>
    <w:rsid w:val="002C3A19"/>
    <w:rsid w:val="002C4256"/>
    <w:rsid w:val="002C559D"/>
    <w:rsid w:val="002C6504"/>
    <w:rsid w:val="002C6910"/>
    <w:rsid w:val="002C7393"/>
    <w:rsid w:val="002D3234"/>
    <w:rsid w:val="002D5C4C"/>
    <w:rsid w:val="002D615C"/>
    <w:rsid w:val="002D7245"/>
    <w:rsid w:val="002E1AFE"/>
    <w:rsid w:val="002E1C46"/>
    <w:rsid w:val="002E2FDA"/>
    <w:rsid w:val="002E3265"/>
    <w:rsid w:val="002E330A"/>
    <w:rsid w:val="002E3F0E"/>
    <w:rsid w:val="002E5966"/>
    <w:rsid w:val="002E5CDA"/>
    <w:rsid w:val="002E60DD"/>
    <w:rsid w:val="002F0083"/>
    <w:rsid w:val="002F0DFB"/>
    <w:rsid w:val="002F17E0"/>
    <w:rsid w:val="002F1F01"/>
    <w:rsid w:val="002F2033"/>
    <w:rsid w:val="002F2210"/>
    <w:rsid w:val="002F2D78"/>
    <w:rsid w:val="002F4D6D"/>
    <w:rsid w:val="002F5148"/>
    <w:rsid w:val="002F6D1E"/>
    <w:rsid w:val="00300854"/>
    <w:rsid w:val="003008C2"/>
    <w:rsid w:val="00300DB0"/>
    <w:rsid w:val="00301F33"/>
    <w:rsid w:val="00303034"/>
    <w:rsid w:val="003045D3"/>
    <w:rsid w:val="00307E2F"/>
    <w:rsid w:val="00311079"/>
    <w:rsid w:val="00312830"/>
    <w:rsid w:val="0031373C"/>
    <w:rsid w:val="00313ABB"/>
    <w:rsid w:val="00314198"/>
    <w:rsid w:val="00314F26"/>
    <w:rsid w:val="00315D16"/>
    <w:rsid w:val="00316015"/>
    <w:rsid w:val="00316729"/>
    <w:rsid w:val="00317D1B"/>
    <w:rsid w:val="003223C7"/>
    <w:rsid w:val="003227B2"/>
    <w:rsid w:val="00322BBF"/>
    <w:rsid w:val="00322BF3"/>
    <w:rsid w:val="00322E25"/>
    <w:rsid w:val="00322E35"/>
    <w:rsid w:val="0032653D"/>
    <w:rsid w:val="00326B6A"/>
    <w:rsid w:val="00327015"/>
    <w:rsid w:val="003303AA"/>
    <w:rsid w:val="003305E4"/>
    <w:rsid w:val="00333018"/>
    <w:rsid w:val="003333C4"/>
    <w:rsid w:val="00333EFB"/>
    <w:rsid w:val="0033559A"/>
    <w:rsid w:val="00335A92"/>
    <w:rsid w:val="00336863"/>
    <w:rsid w:val="0033702D"/>
    <w:rsid w:val="003372BF"/>
    <w:rsid w:val="00337844"/>
    <w:rsid w:val="0033789E"/>
    <w:rsid w:val="00337DEB"/>
    <w:rsid w:val="00340869"/>
    <w:rsid w:val="00340B1F"/>
    <w:rsid w:val="003411C6"/>
    <w:rsid w:val="003414CE"/>
    <w:rsid w:val="00341CE3"/>
    <w:rsid w:val="003423A3"/>
    <w:rsid w:val="00343E54"/>
    <w:rsid w:val="003444AF"/>
    <w:rsid w:val="003445AD"/>
    <w:rsid w:val="00345EDA"/>
    <w:rsid w:val="00346A66"/>
    <w:rsid w:val="00347C51"/>
    <w:rsid w:val="00347EE6"/>
    <w:rsid w:val="003508BD"/>
    <w:rsid w:val="0035225C"/>
    <w:rsid w:val="00354BD2"/>
    <w:rsid w:val="003559E9"/>
    <w:rsid w:val="00355D5A"/>
    <w:rsid w:val="00355F12"/>
    <w:rsid w:val="00356DB4"/>
    <w:rsid w:val="00357837"/>
    <w:rsid w:val="00361982"/>
    <w:rsid w:val="00361E38"/>
    <w:rsid w:val="00362425"/>
    <w:rsid w:val="00362F0C"/>
    <w:rsid w:val="003633ED"/>
    <w:rsid w:val="0036342D"/>
    <w:rsid w:val="00363D7F"/>
    <w:rsid w:val="00363E44"/>
    <w:rsid w:val="003649C4"/>
    <w:rsid w:val="00364A96"/>
    <w:rsid w:val="00364DC0"/>
    <w:rsid w:val="00365CF6"/>
    <w:rsid w:val="003665EA"/>
    <w:rsid w:val="00367841"/>
    <w:rsid w:val="00370922"/>
    <w:rsid w:val="00373456"/>
    <w:rsid w:val="00373606"/>
    <w:rsid w:val="0037523C"/>
    <w:rsid w:val="00376914"/>
    <w:rsid w:val="00376DD7"/>
    <w:rsid w:val="0037782A"/>
    <w:rsid w:val="00380351"/>
    <w:rsid w:val="00381B7F"/>
    <w:rsid w:val="003835D3"/>
    <w:rsid w:val="00383665"/>
    <w:rsid w:val="00383933"/>
    <w:rsid w:val="0038472D"/>
    <w:rsid w:val="00384B99"/>
    <w:rsid w:val="003856B8"/>
    <w:rsid w:val="00386EF9"/>
    <w:rsid w:val="003875D1"/>
    <w:rsid w:val="00387C0D"/>
    <w:rsid w:val="00387FBC"/>
    <w:rsid w:val="0039111E"/>
    <w:rsid w:val="0039113B"/>
    <w:rsid w:val="00391628"/>
    <w:rsid w:val="00391990"/>
    <w:rsid w:val="00392AF6"/>
    <w:rsid w:val="00392D71"/>
    <w:rsid w:val="00392EA7"/>
    <w:rsid w:val="00393AB4"/>
    <w:rsid w:val="00394352"/>
    <w:rsid w:val="0039445A"/>
    <w:rsid w:val="0039520C"/>
    <w:rsid w:val="00395DEB"/>
    <w:rsid w:val="003970F3"/>
    <w:rsid w:val="003A0C76"/>
    <w:rsid w:val="003A0F9A"/>
    <w:rsid w:val="003A2855"/>
    <w:rsid w:val="003A2924"/>
    <w:rsid w:val="003A3FC5"/>
    <w:rsid w:val="003A41D5"/>
    <w:rsid w:val="003A56D0"/>
    <w:rsid w:val="003A57B6"/>
    <w:rsid w:val="003A659B"/>
    <w:rsid w:val="003A6682"/>
    <w:rsid w:val="003A6859"/>
    <w:rsid w:val="003A6AE4"/>
    <w:rsid w:val="003A769B"/>
    <w:rsid w:val="003A79E8"/>
    <w:rsid w:val="003B0976"/>
    <w:rsid w:val="003B1EB0"/>
    <w:rsid w:val="003B4CD6"/>
    <w:rsid w:val="003B501C"/>
    <w:rsid w:val="003B66AB"/>
    <w:rsid w:val="003B7766"/>
    <w:rsid w:val="003B7AAA"/>
    <w:rsid w:val="003C314F"/>
    <w:rsid w:val="003C495C"/>
    <w:rsid w:val="003C53A5"/>
    <w:rsid w:val="003C5B72"/>
    <w:rsid w:val="003C5F8A"/>
    <w:rsid w:val="003C7ADE"/>
    <w:rsid w:val="003D0092"/>
    <w:rsid w:val="003D0824"/>
    <w:rsid w:val="003D4F55"/>
    <w:rsid w:val="003D57C7"/>
    <w:rsid w:val="003D7B70"/>
    <w:rsid w:val="003E1EBD"/>
    <w:rsid w:val="003E3F23"/>
    <w:rsid w:val="003E5202"/>
    <w:rsid w:val="003E689F"/>
    <w:rsid w:val="003E68E0"/>
    <w:rsid w:val="003E6923"/>
    <w:rsid w:val="003E6DC2"/>
    <w:rsid w:val="003E7176"/>
    <w:rsid w:val="003F02FD"/>
    <w:rsid w:val="003F07E1"/>
    <w:rsid w:val="003F1AE0"/>
    <w:rsid w:val="003F24E9"/>
    <w:rsid w:val="003F2A5B"/>
    <w:rsid w:val="003F2D67"/>
    <w:rsid w:val="003F7789"/>
    <w:rsid w:val="003F7F58"/>
    <w:rsid w:val="004001EE"/>
    <w:rsid w:val="00403FAB"/>
    <w:rsid w:val="00403FB5"/>
    <w:rsid w:val="00404B95"/>
    <w:rsid w:val="0040507F"/>
    <w:rsid w:val="004061E4"/>
    <w:rsid w:val="004106B0"/>
    <w:rsid w:val="00411104"/>
    <w:rsid w:val="00413F0E"/>
    <w:rsid w:val="00414F87"/>
    <w:rsid w:val="00415209"/>
    <w:rsid w:val="00417791"/>
    <w:rsid w:val="004202F7"/>
    <w:rsid w:val="004209CA"/>
    <w:rsid w:val="00420D38"/>
    <w:rsid w:val="00420E25"/>
    <w:rsid w:val="0042482F"/>
    <w:rsid w:val="0042546F"/>
    <w:rsid w:val="0042588A"/>
    <w:rsid w:val="0042592F"/>
    <w:rsid w:val="004262D2"/>
    <w:rsid w:val="00433211"/>
    <w:rsid w:val="00436DC6"/>
    <w:rsid w:val="0043703B"/>
    <w:rsid w:val="0044064F"/>
    <w:rsid w:val="00441385"/>
    <w:rsid w:val="00441561"/>
    <w:rsid w:val="00441EAA"/>
    <w:rsid w:val="004426A3"/>
    <w:rsid w:val="00443DD3"/>
    <w:rsid w:val="0044526C"/>
    <w:rsid w:val="004453E3"/>
    <w:rsid w:val="004456EA"/>
    <w:rsid w:val="00451196"/>
    <w:rsid w:val="00453545"/>
    <w:rsid w:val="0045473B"/>
    <w:rsid w:val="0045678E"/>
    <w:rsid w:val="00456842"/>
    <w:rsid w:val="00460822"/>
    <w:rsid w:val="00460C7D"/>
    <w:rsid w:val="00461474"/>
    <w:rsid w:val="004619E6"/>
    <w:rsid w:val="00461C23"/>
    <w:rsid w:val="00465233"/>
    <w:rsid w:val="00467350"/>
    <w:rsid w:val="004675E3"/>
    <w:rsid w:val="004677F9"/>
    <w:rsid w:val="00467917"/>
    <w:rsid w:val="00470142"/>
    <w:rsid w:val="004705DB"/>
    <w:rsid w:val="004719BC"/>
    <w:rsid w:val="004726FA"/>
    <w:rsid w:val="004733F1"/>
    <w:rsid w:val="00473DEC"/>
    <w:rsid w:val="00475350"/>
    <w:rsid w:val="00475B67"/>
    <w:rsid w:val="0047683E"/>
    <w:rsid w:val="00476853"/>
    <w:rsid w:val="00476949"/>
    <w:rsid w:val="0048069B"/>
    <w:rsid w:val="004817B9"/>
    <w:rsid w:val="00482007"/>
    <w:rsid w:val="00483452"/>
    <w:rsid w:val="004856CA"/>
    <w:rsid w:val="004858CF"/>
    <w:rsid w:val="00485C7E"/>
    <w:rsid w:val="004865F2"/>
    <w:rsid w:val="0048701F"/>
    <w:rsid w:val="0049078C"/>
    <w:rsid w:val="00492A8B"/>
    <w:rsid w:val="00492B72"/>
    <w:rsid w:val="004949D5"/>
    <w:rsid w:val="0049501E"/>
    <w:rsid w:val="004953D0"/>
    <w:rsid w:val="004968D0"/>
    <w:rsid w:val="00496A3F"/>
    <w:rsid w:val="004A07E6"/>
    <w:rsid w:val="004A119E"/>
    <w:rsid w:val="004A1631"/>
    <w:rsid w:val="004A24FC"/>
    <w:rsid w:val="004A455F"/>
    <w:rsid w:val="004A4FF6"/>
    <w:rsid w:val="004A53C4"/>
    <w:rsid w:val="004A64FD"/>
    <w:rsid w:val="004A6B26"/>
    <w:rsid w:val="004B0353"/>
    <w:rsid w:val="004B06C2"/>
    <w:rsid w:val="004B10A5"/>
    <w:rsid w:val="004B1635"/>
    <w:rsid w:val="004B2696"/>
    <w:rsid w:val="004B3240"/>
    <w:rsid w:val="004B38CF"/>
    <w:rsid w:val="004B423E"/>
    <w:rsid w:val="004B52BA"/>
    <w:rsid w:val="004B6461"/>
    <w:rsid w:val="004B6FA4"/>
    <w:rsid w:val="004C22F3"/>
    <w:rsid w:val="004C42FB"/>
    <w:rsid w:val="004C478E"/>
    <w:rsid w:val="004C5BFB"/>
    <w:rsid w:val="004C7355"/>
    <w:rsid w:val="004C7830"/>
    <w:rsid w:val="004C7C17"/>
    <w:rsid w:val="004C7E5E"/>
    <w:rsid w:val="004D34CB"/>
    <w:rsid w:val="004D4A18"/>
    <w:rsid w:val="004D4C16"/>
    <w:rsid w:val="004D7EA6"/>
    <w:rsid w:val="004E0825"/>
    <w:rsid w:val="004E12C1"/>
    <w:rsid w:val="004E1465"/>
    <w:rsid w:val="004E1655"/>
    <w:rsid w:val="004E487F"/>
    <w:rsid w:val="004E49F5"/>
    <w:rsid w:val="004E4F47"/>
    <w:rsid w:val="004E647E"/>
    <w:rsid w:val="004F0BCA"/>
    <w:rsid w:val="004F2AAC"/>
    <w:rsid w:val="004F3712"/>
    <w:rsid w:val="004F4CCF"/>
    <w:rsid w:val="004F608F"/>
    <w:rsid w:val="004F71F5"/>
    <w:rsid w:val="004F7A8F"/>
    <w:rsid w:val="004F7ECA"/>
    <w:rsid w:val="004F7F71"/>
    <w:rsid w:val="00501A9C"/>
    <w:rsid w:val="00502162"/>
    <w:rsid w:val="005023A0"/>
    <w:rsid w:val="00502930"/>
    <w:rsid w:val="00503138"/>
    <w:rsid w:val="00505804"/>
    <w:rsid w:val="0050683B"/>
    <w:rsid w:val="00506BE0"/>
    <w:rsid w:val="00507220"/>
    <w:rsid w:val="005077A5"/>
    <w:rsid w:val="00511AEF"/>
    <w:rsid w:val="00511BB5"/>
    <w:rsid w:val="005124E6"/>
    <w:rsid w:val="0051374C"/>
    <w:rsid w:val="00513837"/>
    <w:rsid w:val="005141EE"/>
    <w:rsid w:val="005147C5"/>
    <w:rsid w:val="00516256"/>
    <w:rsid w:val="00516BBA"/>
    <w:rsid w:val="00520A59"/>
    <w:rsid w:val="00521B6D"/>
    <w:rsid w:val="00521DB2"/>
    <w:rsid w:val="00522542"/>
    <w:rsid w:val="00524159"/>
    <w:rsid w:val="0052474E"/>
    <w:rsid w:val="00524764"/>
    <w:rsid w:val="00524DF8"/>
    <w:rsid w:val="00525126"/>
    <w:rsid w:val="00525240"/>
    <w:rsid w:val="00532342"/>
    <w:rsid w:val="00533E22"/>
    <w:rsid w:val="00535918"/>
    <w:rsid w:val="0053779F"/>
    <w:rsid w:val="0054057A"/>
    <w:rsid w:val="005419D1"/>
    <w:rsid w:val="00541C9E"/>
    <w:rsid w:val="005437F8"/>
    <w:rsid w:val="00543D55"/>
    <w:rsid w:val="005441FC"/>
    <w:rsid w:val="00544612"/>
    <w:rsid w:val="00544C47"/>
    <w:rsid w:val="00545FAF"/>
    <w:rsid w:val="00546A2D"/>
    <w:rsid w:val="005512DF"/>
    <w:rsid w:val="00551482"/>
    <w:rsid w:val="0055246F"/>
    <w:rsid w:val="0055444E"/>
    <w:rsid w:val="005564DE"/>
    <w:rsid w:val="005575F7"/>
    <w:rsid w:val="00557EFB"/>
    <w:rsid w:val="005602BB"/>
    <w:rsid w:val="0056124A"/>
    <w:rsid w:val="00562315"/>
    <w:rsid w:val="00562860"/>
    <w:rsid w:val="00564B3D"/>
    <w:rsid w:val="00565304"/>
    <w:rsid w:val="00565317"/>
    <w:rsid w:val="00566944"/>
    <w:rsid w:val="00567ABA"/>
    <w:rsid w:val="0057077A"/>
    <w:rsid w:val="005707BA"/>
    <w:rsid w:val="005713BC"/>
    <w:rsid w:val="005728B6"/>
    <w:rsid w:val="00573F51"/>
    <w:rsid w:val="005748A3"/>
    <w:rsid w:val="00575E03"/>
    <w:rsid w:val="00580224"/>
    <w:rsid w:val="00581095"/>
    <w:rsid w:val="00582F58"/>
    <w:rsid w:val="00583B87"/>
    <w:rsid w:val="00586560"/>
    <w:rsid w:val="00586D8D"/>
    <w:rsid w:val="00590DAC"/>
    <w:rsid w:val="005919BD"/>
    <w:rsid w:val="00592B84"/>
    <w:rsid w:val="00593396"/>
    <w:rsid w:val="005938FD"/>
    <w:rsid w:val="00593D80"/>
    <w:rsid w:val="0059419B"/>
    <w:rsid w:val="00594715"/>
    <w:rsid w:val="0059621F"/>
    <w:rsid w:val="005A0304"/>
    <w:rsid w:val="005A034E"/>
    <w:rsid w:val="005A1CF4"/>
    <w:rsid w:val="005A1D97"/>
    <w:rsid w:val="005A261F"/>
    <w:rsid w:val="005A2886"/>
    <w:rsid w:val="005A69F8"/>
    <w:rsid w:val="005A6CF6"/>
    <w:rsid w:val="005A7FF7"/>
    <w:rsid w:val="005B0197"/>
    <w:rsid w:val="005B06DA"/>
    <w:rsid w:val="005B08B3"/>
    <w:rsid w:val="005B1576"/>
    <w:rsid w:val="005B4863"/>
    <w:rsid w:val="005C1CAB"/>
    <w:rsid w:val="005C2EA7"/>
    <w:rsid w:val="005C353F"/>
    <w:rsid w:val="005C4432"/>
    <w:rsid w:val="005C4B20"/>
    <w:rsid w:val="005C7CF8"/>
    <w:rsid w:val="005D14F7"/>
    <w:rsid w:val="005D1681"/>
    <w:rsid w:val="005D1C38"/>
    <w:rsid w:val="005D63F8"/>
    <w:rsid w:val="005D712E"/>
    <w:rsid w:val="005D7768"/>
    <w:rsid w:val="005E1227"/>
    <w:rsid w:val="005E1FA9"/>
    <w:rsid w:val="005E2F30"/>
    <w:rsid w:val="005E30C1"/>
    <w:rsid w:val="005E3DEE"/>
    <w:rsid w:val="005E562C"/>
    <w:rsid w:val="005E56EC"/>
    <w:rsid w:val="005E7227"/>
    <w:rsid w:val="005E75D4"/>
    <w:rsid w:val="005F28F6"/>
    <w:rsid w:val="005F2A24"/>
    <w:rsid w:val="005F3881"/>
    <w:rsid w:val="005F3DEC"/>
    <w:rsid w:val="005F3E2C"/>
    <w:rsid w:val="005F4325"/>
    <w:rsid w:val="005F5496"/>
    <w:rsid w:val="005F5FE2"/>
    <w:rsid w:val="005F6C8B"/>
    <w:rsid w:val="00600212"/>
    <w:rsid w:val="00601CEA"/>
    <w:rsid w:val="0060762B"/>
    <w:rsid w:val="00607FB7"/>
    <w:rsid w:val="006111BD"/>
    <w:rsid w:val="00612753"/>
    <w:rsid w:val="006137A0"/>
    <w:rsid w:val="00615877"/>
    <w:rsid w:val="00615B37"/>
    <w:rsid w:val="0061637B"/>
    <w:rsid w:val="006163B0"/>
    <w:rsid w:val="006164E4"/>
    <w:rsid w:val="00616FC6"/>
    <w:rsid w:val="00617CDE"/>
    <w:rsid w:val="0062155E"/>
    <w:rsid w:val="00621700"/>
    <w:rsid w:val="00621B7E"/>
    <w:rsid w:val="00621D7C"/>
    <w:rsid w:val="00622B06"/>
    <w:rsid w:val="00622C5C"/>
    <w:rsid w:val="006236BE"/>
    <w:rsid w:val="00624A8F"/>
    <w:rsid w:val="006275C0"/>
    <w:rsid w:val="006310EF"/>
    <w:rsid w:val="006319A1"/>
    <w:rsid w:val="00631E0A"/>
    <w:rsid w:val="0063219D"/>
    <w:rsid w:val="00632812"/>
    <w:rsid w:val="00632CB7"/>
    <w:rsid w:val="00632E21"/>
    <w:rsid w:val="00636B0A"/>
    <w:rsid w:val="00636EF4"/>
    <w:rsid w:val="00640540"/>
    <w:rsid w:val="006405EE"/>
    <w:rsid w:val="00641579"/>
    <w:rsid w:val="0064292E"/>
    <w:rsid w:val="00643E4E"/>
    <w:rsid w:val="0064466D"/>
    <w:rsid w:val="00644BD8"/>
    <w:rsid w:val="006461D4"/>
    <w:rsid w:val="0064688D"/>
    <w:rsid w:val="00647CD6"/>
    <w:rsid w:val="0065057A"/>
    <w:rsid w:val="00651019"/>
    <w:rsid w:val="00651ECA"/>
    <w:rsid w:val="00652191"/>
    <w:rsid w:val="00653A4A"/>
    <w:rsid w:val="00653EA5"/>
    <w:rsid w:val="006550BA"/>
    <w:rsid w:val="006554B8"/>
    <w:rsid w:val="006566B4"/>
    <w:rsid w:val="0065757E"/>
    <w:rsid w:val="00657A99"/>
    <w:rsid w:val="0066096C"/>
    <w:rsid w:val="00662D47"/>
    <w:rsid w:val="0066327F"/>
    <w:rsid w:val="00665281"/>
    <w:rsid w:val="006661F5"/>
    <w:rsid w:val="00666D90"/>
    <w:rsid w:val="00667C4E"/>
    <w:rsid w:val="006708F6"/>
    <w:rsid w:val="00671209"/>
    <w:rsid w:val="006729BD"/>
    <w:rsid w:val="006741C2"/>
    <w:rsid w:val="00674E40"/>
    <w:rsid w:val="0067550B"/>
    <w:rsid w:val="006763C0"/>
    <w:rsid w:val="00676742"/>
    <w:rsid w:val="00676EE2"/>
    <w:rsid w:val="006772F5"/>
    <w:rsid w:val="00680138"/>
    <w:rsid w:val="0068062C"/>
    <w:rsid w:val="00682FA1"/>
    <w:rsid w:val="006830A3"/>
    <w:rsid w:val="006833CD"/>
    <w:rsid w:val="006836D4"/>
    <w:rsid w:val="0068492D"/>
    <w:rsid w:val="006867DB"/>
    <w:rsid w:val="00692247"/>
    <w:rsid w:val="006931BD"/>
    <w:rsid w:val="00694724"/>
    <w:rsid w:val="00694C7A"/>
    <w:rsid w:val="006952E0"/>
    <w:rsid w:val="006968FC"/>
    <w:rsid w:val="00696D2E"/>
    <w:rsid w:val="006A2791"/>
    <w:rsid w:val="006A2B9A"/>
    <w:rsid w:val="006A4BA8"/>
    <w:rsid w:val="006A4F3F"/>
    <w:rsid w:val="006A757D"/>
    <w:rsid w:val="006B0094"/>
    <w:rsid w:val="006B01E2"/>
    <w:rsid w:val="006B19E1"/>
    <w:rsid w:val="006B2932"/>
    <w:rsid w:val="006B2BCD"/>
    <w:rsid w:val="006B3BEB"/>
    <w:rsid w:val="006B46FF"/>
    <w:rsid w:val="006B573D"/>
    <w:rsid w:val="006B67F5"/>
    <w:rsid w:val="006C3103"/>
    <w:rsid w:val="006C4786"/>
    <w:rsid w:val="006C491E"/>
    <w:rsid w:val="006C5259"/>
    <w:rsid w:val="006C6201"/>
    <w:rsid w:val="006D0AA5"/>
    <w:rsid w:val="006D1749"/>
    <w:rsid w:val="006D1AFB"/>
    <w:rsid w:val="006D1D4D"/>
    <w:rsid w:val="006D3A11"/>
    <w:rsid w:val="006D60CC"/>
    <w:rsid w:val="006D767B"/>
    <w:rsid w:val="006E08ED"/>
    <w:rsid w:val="006E19B3"/>
    <w:rsid w:val="006E1A75"/>
    <w:rsid w:val="006E1BDD"/>
    <w:rsid w:val="006E5AB1"/>
    <w:rsid w:val="006E62AA"/>
    <w:rsid w:val="006E6E27"/>
    <w:rsid w:val="006E78CF"/>
    <w:rsid w:val="006E7977"/>
    <w:rsid w:val="006F0B43"/>
    <w:rsid w:val="006F2789"/>
    <w:rsid w:val="006F2DE2"/>
    <w:rsid w:val="006F4A83"/>
    <w:rsid w:val="006F5520"/>
    <w:rsid w:val="006F6C95"/>
    <w:rsid w:val="006F6EF6"/>
    <w:rsid w:val="006F7A86"/>
    <w:rsid w:val="006F7CC9"/>
    <w:rsid w:val="0070001F"/>
    <w:rsid w:val="00700171"/>
    <w:rsid w:val="00700676"/>
    <w:rsid w:val="0070076C"/>
    <w:rsid w:val="007016F1"/>
    <w:rsid w:val="00702BCE"/>
    <w:rsid w:val="00704E6C"/>
    <w:rsid w:val="007054B3"/>
    <w:rsid w:val="00705F17"/>
    <w:rsid w:val="00710E2D"/>
    <w:rsid w:val="007111A7"/>
    <w:rsid w:val="00712166"/>
    <w:rsid w:val="00712D8D"/>
    <w:rsid w:val="00712F30"/>
    <w:rsid w:val="00714CD3"/>
    <w:rsid w:val="0071529D"/>
    <w:rsid w:val="00715C60"/>
    <w:rsid w:val="00716022"/>
    <w:rsid w:val="0071789E"/>
    <w:rsid w:val="00721148"/>
    <w:rsid w:val="00721CB9"/>
    <w:rsid w:val="0072287B"/>
    <w:rsid w:val="007228F8"/>
    <w:rsid w:val="00723F08"/>
    <w:rsid w:val="007247E4"/>
    <w:rsid w:val="00724A37"/>
    <w:rsid w:val="00724B73"/>
    <w:rsid w:val="00725DD5"/>
    <w:rsid w:val="0073218B"/>
    <w:rsid w:val="0073259C"/>
    <w:rsid w:val="007331B5"/>
    <w:rsid w:val="00733D0A"/>
    <w:rsid w:val="00734180"/>
    <w:rsid w:val="00734B33"/>
    <w:rsid w:val="0073524E"/>
    <w:rsid w:val="0073568B"/>
    <w:rsid w:val="0073709C"/>
    <w:rsid w:val="00737EBB"/>
    <w:rsid w:val="00737EF3"/>
    <w:rsid w:val="0074022F"/>
    <w:rsid w:val="00740FAF"/>
    <w:rsid w:val="0074166E"/>
    <w:rsid w:val="007431BF"/>
    <w:rsid w:val="007434AC"/>
    <w:rsid w:val="007457AD"/>
    <w:rsid w:val="00746BAE"/>
    <w:rsid w:val="00746D1A"/>
    <w:rsid w:val="00746E63"/>
    <w:rsid w:val="00747391"/>
    <w:rsid w:val="007474AB"/>
    <w:rsid w:val="00747B64"/>
    <w:rsid w:val="0075018C"/>
    <w:rsid w:val="00750ACA"/>
    <w:rsid w:val="007512C7"/>
    <w:rsid w:val="00751545"/>
    <w:rsid w:val="007519DC"/>
    <w:rsid w:val="00752329"/>
    <w:rsid w:val="00752423"/>
    <w:rsid w:val="007526FA"/>
    <w:rsid w:val="0075473F"/>
    <w:rsid w:val="00754CF9"/>
    <w:rsid w:val="007550E6"/>
    <w:rsid w:val="00755174"/>
    <w:rsid w:val="007558DD"/>
    <w:rsid w:val="00755AFF"/>
    <w:rsid w:val="00755DB0"/>
    <w:rsid w:val="0075623E"/>
    <w:rsid w:val="00756822"/>
    <w:rsid w:val="00757286"/>
    <w:rsid w:val="00760817"/>
    <w:rsid w:val="007608DC"/>
    <w:rsid w:val="00760AC7"/>
    <w:rsid w:val="007625AA"/>
    <w:rsid w:val="007634A0"/>
    <w:rsid w:val="00763F28"/>
    <w:rsid w:val="007649A5"/>
    <w:rsid w:val="00764F00"/>
    <w:rsid w:val="0076534C"/>
    <w:rsid w:val="007658A8"/>
    <w:rsid w:val="0076744E"/>
    <w:rsid w:val="00767FCD"/>
    <w:rsid w:val="00770965"/>
    <w:rsid w:val="00771867"/>
    <w:rsid w:val="0077338E"/>
    <w:rsid w:val="00775A2C"/>
    <w:rsid w:val="00775F1E"/>
    <w:rsid w:val="00776B45"/>
    <w:rsid w:val="00777D0C"/>
    <w:rsid w:val="007803DB"/>
    <w:rsid w:val="00780AA9"/>
    <w:rsid w:val="0078289F"/>
    <w:rsid w:val="00782E8D"/>
    <w:rsid w:val="00783858"/>
    <w:rsid w:val="00785402"/>
    <w:rsid w:val="007863E3"/>
    <w:rsid w:val="00786679"/>
    <w:rsid w:val="007867E2"/>
    <w:rsid w:val="00786BD3"/>
    <w:rsid w:val="00786C73"/>
    <w:rsid w:val="00786E47"/>
    <w:rsid w:val="00787A0D"/>
    <w:rsid w:val="00787DDF"/>
    <w:rsid w:val="00790675"/>
    <w:rsid w:val="00790721"/>
    <w:rsid w:val="00790C5D"/>
    <w:rsid w:val="0079140E"/>
    <w:rsid w:val="0079171E"/>
    <w:rsid w:val="00791D13"/>
    <w:rsid w:val="00792164"/>
    <w:rsid w:val="00795B05"/>
    <w:rsid w:val="00796556"/>
    <w:rsid w:val="007968EF"/>
    <w:rsid w:val="007A111B"/>
    <w:rsid w:val="007A15A7"/>
    <w:rsid w:val="007A2302"/>
    <w:rsid w:val="007A4D91"/>
    <w:rsid w:val="007A65F7"/>
    <w:rsid w:val="007B2538"/>
    <w:rsid w:val="007B3DE9"/>
    <w:rsid w:val="007B691E"/>
    <w:rsid w:val="007B74C2"/>
    <w:rsid w:val="007C19CD"/>
    <w:rsid w:val="007C24F7"/>
    <w:rsid w:val="007C2D62"/>
    <w:rsid w:val="007C3B25"/>
    <w:rsid w:val="007C4217"/>
    <w:rsid w:val="007C50B4"/>
    <w:rsid w:val="007C5A1F"/>
    <w:rsid w:val="007D000B"/>
    <w:rsid w:val="007D0FED"/>
    <w:rsid w:val="007D1966"/>
    <w:rsid w:val="007D2F85"/>
    <w:rsid w:val="007D3F46"/>
    <w:rsid w:val="007D4A74"/>
    <w:rsid w:val="007D4C16"/>
    <w:rsid w:val="007D50F5"/>
    <w:rsid w:val="007D5165"/>
    <w:rsid w:val="007D5A82"/>
    <w:rsid w:val="007D6ED6"/>
    <w:rsid w:val="007E12F0"/>
    <w:rsid w:val="007E1B1D"/>
    <w:rsid w:val="007E1CD3"/>
    <w:rsid w:val="007E1EB9"/>
    <w:rsid w:val="007E1FE4"/>
    <w:rsid w:val="007E2F4C"/>
    <w:rsid w:val="007E34BE"/>
    <w:rsid w:val="007E3DEE"/>
    <w:rsid w:val="007E4093"/>
    <w:rsid w:val="007E5B3D"/>
    <w:rsid w:val="007E63D0"/>
    <w:rsid w:val="007E6B6B"/>
    <w:rsid w:val="007E735C"/>
    <w:rsid w:val="007E7432"/>
    <w:rsid w:val="007F0169"/>
    <w:rsid w:val="007F1669"/>
    <w:rsid w:val="007F183A"/>
    <w:rsid w:val="007F2A99"/>
    <w:rsid w:val="007F4ABC"/>
    <w:rsid w:val="007F4FD9"/>
    <w:rsid w:val="007F58E9"/>
    <w:rsid w:val="007F5F81"/>
    <w:rsid w:val="007F6AA6"/>
    <w:rsid w:val="007F6F4A"/>
    <w:rsid w:val="007F70A4"/>
    <w:rsid w:val="007F7B94"/>
    <w:rsid w:val="008001B9"/>
    <w:rsid w:val="00803B08"/>
    <w:rsid w:val="00803B76"/>
    <w:rsid w:val="008052EE"/>
    <w:rsid w:val="0080673E"/>
    <w:rsid w:val="008074CC"/>
    <w:rsid w:val="00807856"/>
    <w:rsid w:val="00810A4F"/>
    <w:rsid w:val="00811384"/>
    <w:rsid w:val="008115E6"/>
    <w:rsid w:val="00812D61"/>
    <w:rsid w:val="0081379E"/>
    <w:rsid w:val="00813A78"/>
    <w:rsid w:val="00813F0A"/>
    <w:rsid w:val="00813F9E"/>
    <w:rsid w:val="008143A5"/>
    <w:rsid w:val="00815D43"/>
    <w:rsid w:val="0081628B"/>
    <w:rsid w:val="00816940"/>
    <w:rsid w:val="00817D10"/>
    <w:rsid w:val="00821CFA"/>
    <w:rsid w:val="00821D4A"/>
    <w:rsid w:val="00821ECD"/>
    <w:rsid w:val="0082288E"/>
    <w:rsid w:val="0082375B"/>
    <w:rsid w:val="00824115"/>
    <w:rsid w:val="00824A42"/>
    <w:rsid w:val="00824FA9"/>
    <w:rsid w:val="00826109"/>
    <w:rsid w:val="00826EF2"/>
    <w:rsid w:val="0082720C"/>
    <w:rsid w:val="008272A2"/>
    <w:rsid w:val="00827602"/>
    <w:rsid w:val="008307A8"/>
    <w:rsid w:val="00832071"/>
    <w:rsid w:val="0083325E"/>
    <w:rsid w:val="00833BB0"/>
    <w:rsid w:val="008345B0"/>
    <w:rsid w:val="00834F71"/>
    <w:rsid w:val="008359E9"/>
    <w:rsid w:val="00836214"/>
    <w:rsid w:val="0084125F"/>
    <w:rsid w:val="00841E25"/>
    <w:rsid w:val="00842463"/>
    <w:rsid w:val="00842776"/>
    <w:rsid w:val="00842A56"/>
    <w:rsid w:val="00843625"/>
    <w:rsid w:val="008436AF"/>
    <w:rsid w:val="00843955"/>
    <w:rsid w:val="0084395C"/>
    <w:rsid w:val="00843D98"/>
    <w:rsid w:val="0084597D"/>
    <w:rsid w:val="008466BB"/>
    <w:rsid w:val="008466FC"/>
    <w:rsid w:val="00846AF1"/>
    <w:rsid w:val="00846B7C"/>
    <w:rsid w:val="0085087C"/>
    <w:rsid w:val="008515EC"/>
    <w:rsid w:val="0085280B"/>
    <w:rsid w:val="00853BE7"/>
    <w:rsid w:val="00854E9A"/>
    <w:rsid w:val="00855E7E"/>
    <w:rsid w:val="008564D0"/>
    <w:rsid w:val="008634DF"/>
    <w:rsid w:val="008637C5"/>
    <w:rsid w:val="00863CE1"/>
    <w:rsid w:val="00864D80"/>
    <w:rsid w:val="008654F0"/>
    <w:rsid w:val="00865AC6"/>
    <w:rsid w:val="008664F2"/>
    <w:rsid w:val="00870FDC"/>
    <w:rsid w:val="008717C1"/>
    <w:rsid w:val="00871A87"/>
    <w:rsid w:val="00871D1B"/>
    <w:rsid w:val="00871FDB"/>
    <w:rsid w:val="00872532"/>
    <w:rsid w:val="00872E7B"/>
    <w:rsid w:val="00873D0D"/>
    <w:rsid w:val="00874C1C"/>
    <w:rsid w:val="00874E23"/>
    <w:rsid w:val="00874E28"/>
    <w:rsid w:val="008753A9"/>
    <w:rsid w:val="00875AE5"/>
    <w:rsid w:val="0087650D"/>
    <w:rsid w:val="00876F28"/>
    <w:rsid w:val="00876F9B"/>
    <w:rsid w:val="00880C9D"/>
    <w:rsid w:val="00881839"/>
    <w:rsid w:val="008826A0"/>
    <w:rsid w:val="00883205"/>
    <w:rsid w:val="00885293"/>
    <w:rsid w:val="008855CA"/>
    <w:rsid w:val="00885C5D"/>
    <w:rsid w:val="00887139"/>
    <w:rsid w:val="0088759C"/>
    <w:rsid w:val="008901AF"/>
    <w:rsid w:val="00891F8C"/>
    <w:rsid w:val="00893CF5"/>
    <w:rsid w:val="00895179"/>
    <w:rsid w:val="00897495"/>
    <w:rsid w:val="008A12F1"/>
    <w:rsid w:val="008A4441"/>
    <w:rsid w:val="008A493D"/>
    <w:rsid w:val="008A6791"/>
    <w:rsid w:val="008A719A"/>
    <w:rsid w:val="008B2CC3"/>
    <w:rsid w:val="008B2D8B"/>
    <w:rsid w:val="008B4F50"/>
    <w:rsid w:val="008B696A"/>
    <w:rsid w:val="008B6CE4"/>
    <w:rsid w:val="008B6D1D"/>
    <w:rsid w:val="008B6FBB"/>
    <w:rsid w:val="008B749B"/>
    <w:rsid w:val="008B7BC1"/>
    <w:rsid w:val="008C0054"/>
    <w:rsid w:val="008C0422"/>
    <w:rsid w:val="008C1728"/>
    <w:rsid w:val="008C2E65"/>
    <w:rsid w:val="008C3AB8"/>
    <w:rsid w:val="008C4795"/>
    <w:rsid w:val="008C5075"/>
    <w:rsid w:val="008C5A38"/>
    <w:rsid w:val="008C5D80"/>
    <w:rsid w:val="008C6202"/>
    <w:rsid w:val="008C6339"/>
    <w:rsid w:val="008C7A52"/>
    <w:rsid w:val="008D1711"/>
    <w:rsid w:val="008D1BC1"/>
    <w:rsid w:val="008D1C86"/>
    <w:rsid w:val="008D253B"/>
    <w:rsid w:val="008D313B"/>
    <w:rsid w:val="008D4098"/>
    <w:rsid w:val="008D4D76"/>
    <w:rsid w:val="008D4FA0"/>
    <w:rsid w:val="008D5169"/>
    <w:rsid w:val="008D6615"/>
    <w:rsid w:val="008D67C1"/>
    <w:rsid w:val="008D68B8"/>
    <w:rsid w:val="008E0245"/>
    <w:rsid w:val="008E2CCC"/>
    <w:rsid w:val="008E539E"/>
    <w:rsid w:val="008E575A"/>
    <w:rsid w:val="008E6974"/>
    <w:rsid w:val="008F1A8E"/>
    <w:rsid w:val="008F1DF4"/>
    <w:rsid w:val="008F20E4"/>
    <w:rsid w:val="008F210B"/>
    <w:rsid w:val="008F235C"/>
    <w:rsid w:val="008F381E"/>
    <w:rsid w:val="008F5008"/>
    <w:rsid w:val="008F555E"/>
    <w:rsid w:val="008F58C9"/>
    <w:rsid w:val="008F65E3"/>
    <w:rsid w:val="008F6FDE"/>
    <w:rsid w:val="00901123"/>
    <w:rsid w:val="00902449"/>
    <w:rsid w:val="0090421F"/>
    <w:rsid w:val="00904481"/>
    <w:rsid w:val="00904776"/>
    <w:rsid w:val="0090557C"/>
    <w:rsid w:val="0090650A"/>
    <w:rsid w:val="0091124F"/>
    <w:rsid w:val="009113B7"/>
    <w:rsid w:val="009113E9"/>
    <w:rsid w:val="00913504"/>
    <w:rsid w:val="00914FF2"/>
    <w:rsid w:val="00915683"/>
    <w:rsid w:val="009174F3"/>
    <w:rsid w:val="0091774D"/>
    <w:rsid w:val="00917AEF"/>
    <w:rsid w:val="00920E72"/>
    <w:rsid w:val="00920F4A"/>
    <w:rsid w:val="009215A9"/>
    <w:rsid w:val="009216F1"/>
    <w:rsid w:val="00921E52"/>
    <w:rsid w:val="0092222D"/>
    <w:rsid w:val="00922402"/>
    <w:rsid w:val="009248AA"/>
    <w:rsid w:val="00925437"/>
    <w:rsid w:val="00925B11"/>
    <w:rsid w:val="00926320"/>
    <w:rsid w:val="00926C80"/>
    <w:rsid w:val="0092796D"/>
    <w:rsid w:val="00930B05"/>
    <w:rsid w:val="00930D73"/>
    <w:rsid w:val="0093235D"/>
    <w:rsid w:val="00932D48"/>
    <w:rsid w:val="00932EC3"/>
    <w:rsid w:val="00934F56"/>
    <w:rsid w:val="0093580F"/>
    <w:rsid w:val="00935E82"/>
    <w:rsid w:val="0093653E"/>
    <w:rsid w:val="00936C52"/>
    <w:rsid w:val="00936FC0"/>
    <w:rsid w:val="009417D0"/>
    <w:rsid w:val="00941ABA"/>
    <w:rsid w:val="0094296D"/>
    <w:rsid w:val="00942BC7"/>
    <w:rsid w:val="00942FAA"/>
    <w:rsid w:val="0094490C"/>
    <w:rsid w:val="009457B6"/>
    <w:rsid w:val="00945FD1"/>
    <w:rsid w:val="00950047"/>
    <w:rsid w:val="00950532"/>
    <w:rsid w:val="00952160"/>
    <w:rsid w:val="009538FD"/>
    <w:rsid w:val="00954F09"/>
    <w:rsid w:val="00955170"/>
    <w:rsid w:val="00956CE8"/>
    <w:rsid w:val="00956E9A"/>
    <w:rsid w:val="0096205C"/>
    <w:rsid w:val="00962B14"/>
    <w:rsid w:val="00963381"/>
    <w:rsid w:val="00963783"/>
    <w:rsid w:val="00963B89"/>
    <w:rsid w:val="009662A0"/>
    <w:rsid w:val="0096691B"/>
    <w:rsid w:val="0097667E"/>
    <w:rsid w:val="00977373"/>
    <w:rsid w:val="00977582"/>
    <w:rsid w:val="00980664"/>
    <w:rsid w:val="0098262B"/>
    <w:rsid w:val="00982DF2"/>
    <w:rsid w:val="00984085"/>
    <w:rsid w:val="0098410E"/>
    <w:rsid w:val="00984760"/>
    <w:rsid w:val="00986CBF"/>
    <w:rsid w:val="00987E19"/>
    <w:rsid w:val="00987F0A"/>
    <w:rsid w:val="00990158"/>
    <w:rsid w:val="00990F04"/>
    <w:rsid w:val="00992D7D"/>
    <w:rsid w:val="00993DB5"/>
    <w:rsid w:val="00994CBB"/>
    <w:rsid w:val="009970EC"/>
    <w:rsid w:val="00997198"/>
    <w:rsid w:val="00997BE3"/>
    <w:rsid w:val="009A4D14"/>
    <w:rsid w:val="009A5079"/>
    <w:rsid w:val="009A5CAE"/>
    <w:rsid w:val="009A64BC"/>
    <w:rsid w:val="009A7137"/>
    <w:rsid w:val="009B028F"/>
    <w:rsid w:val="009B039B"/>
    <w:rsid w:val="009B3BFF"/>
    <w:rsid w:val="009B3C12"/>
    <w:rsid w:val="009B3E3B"/>
    <w:rsid w:val="009B4B20"/>
    <w:rsid w:val="009B580D"/>
    <w:rsid w:val="009B5860"/>
    <w:rsid w:val="009B6F71"/>
    <w:rsid w:val="009B7DA1"/>
    <w:rsid w:val="009C0377"/>
    <w:rsid w:val="009C2575"/>
    <w:rsid w:val="009C34A1"/>
    <w:rsid w:val="009C3836"/>
    <w:rsid w:val="009C3D9C"/>
    <w:rsid w:val="009C5BDC"/>
    <w:rsid w:val="009C612E"/>
    <w:rsid w:val="009C62F2"/>
    <w:rsid w:val="009C6C16"/>
    <w:rsid w:val="009D0872"/>
    <w:rsid w:val="009D0F6F"/>
    <w:rsid w:val="009D2A29"/>
    <w:rsid w:val="009D4074"/>
    <w:rsid w:val="009D46A2"/>
    <w:rsid w:val="009D5BD8"/>
    <w:rsid w:val="009D6CAE"/>
    <w:rsid w:val="009D7D84"/>
    <w:rsid w:val="009E15CB"/>
    <w:rsid w:val="009E18EB"/>
    <w:rsid w:val="009E21AE"/>
    <w:rsid w:val="009E423C"/>
    <w:rsid w:val="009E4D7C"/>
    <w:rsid w:val="009E576B"/>
    <w:rsid w:val="009E5A61"/>
    <w:rsid w:val="009E5E21"/>
    <w:rsid w:val="009E60CC"/>
    <w:rsid w:val="009E6326"/>
    <w:rsid w:val="009F0208"/>
    <w:rsid w:val="009F1059"/>
    <w:rsid w:val="009F1523"/>
    <w:rsid w:val="009F1901"/>
    <w:rsid w:val="009F1BFD"/>
    <w:rsid w:val="009F287F"/>
    <w:rsid w:val="009F2A14"/>
    <w:rsid w:val="009F2B6A"/>
    <w:rsid w:val="009F2C9B"/>
    <w:rsid w:val="009F2DA4"/>
    <w:rsid w:val="009F34B2"/>
    <w:rsid w:val="009F654F"/>
    <w:rsid w:val="009F7290"/>
    <w:rsid w:val="009F74E4"/>
    <w:rsid w:val="00A00452"/>
    <w:rsid w:val="00A00CDD"/>
    <w:rsid w:val="00A01399"/>
    <w:rsid w:val="00A030F3"/>
    <w:rsid w:val="00A03D02"/>
    <w:rsid w:val="00A0439C"/>
    <w:rsid w:val="00A04E22"/>
    <w:rsid w:val="00A0531A"/>
    <w:rsid w:val="00A069A1"/>
    <w:rsid w:val="00A104C6"/>
    <w:rsid w:val="00A1159A"/>
    <w:rsid w:val="00A11C6C"/>
    <w:rsid w:val="00A1337C"/>
    <w:rsid w:val="00A144FD"/>
    <w:rsid w:val="00A1598E"/>
    <w:rsid w:val="00A16BED"/>
    <w:rsid w:val="00A17061"/>
    <w:rsid w:val="00A20ACE"/>
    <w:rsid w:val="00A226E7"/>
    <w:rsid w:val="00A23648"/>
    <w:rsid w:val="00A23B94"/>
    <w:rsid w:val="00A2440F"/>
    <w:rsid w:val="00A251C9"/>
    <w:rsid w:val="00A258B1"/>
    <w:rsid w:val="00A27099"/>
    <w:rsid w:val="00A271A5"/>
    <w:rsid w:val="00A2733A"/>
    <w:rsid w:val="00A2744D"/>
    <w:rsid w:val="00A279B2"/>
    <w:rsid w:val="00A27E8F"/>
    <w:rsid w:val="00A305C0"/>
    <w:rsid w:val="00A307E0"/>
    <w:rsid w:val="00A3196A"/>
    <w:rsid w:val="00A31A91"/>
    <w:rsid w:val="00A32867"/>
    <w:rsid w:val="00A32AC8"/>
    <w:rsid w:val="00A335B5"/>
    <w:rsid w:val="00A33623"/>
    <w:rsid w:val="00A338B2"/>
    <w:rsid w:val="00A3635F"/>
    <w:rsid w:val="00A37D75"/>
    <w:rsid w:val="00A44C54"/>
    <w:rsid w:val="00A452F4"/>
    <w:rsid w:val="00A456BD"/>
    <w:rsid w:val="00A4633E"/>
    <w:rsid w:val="00A47966"/>
    <w:rsid w:val="00A50219"/>
    <w:rsid w:val="00A5044A"/>
    <w:rsid w:val="00A504CD"/>
    <w:rsid w:val="00A520F1"/>
    <w:rsid w:val="00A525E3"/>
    <w:rsid w:val="00A533F3"/>
    <w:rsid w:val="00A536CD"/>
    <w:rsid w:val="00A54680"/>
    <w:rsid w:val="00A54B10"/>
    <w:rsid w:val="00A552F5"/>
    <w:rsid w:val="00A55307"/>
    <w:rsid w:val="00A55D1B"/>
    <w:rsid w:val="00A56D9B"/>
    <w:rsid w:val="00A57407"/>
    <w:rsid w:val="00A64CD8"/>
    <w:rsid w:val="00A656B2"/>
    <w:rsid w:val="00A66528"/>
    <w:rsid w:val="00A6670E"/>
    <w:rsid w:val="00A675FF"/>
    <w:rsid w:val="00A67A5E"/>
    <w:rsid w:val="00A67C31"/>
    <w:rsid w:val="00A67D0F"/>
    <w:rsid w:val="00A70B72"/>
    <w:rsid w:val="00A71C92"/>
    <w:rsid w:val="00A71E55"/>
    <w:rsid w:val="00A726E3"/>
    <w:rsid w:val="00A73D22"/>
    <w:rsid w:val="00A74C95"/>
    <w:rsid w:val="00A75A20"/>
    <w:rsid w:val="00A75A78"/>
    <w:rsid w:val="00A7613C"/>
    <w:rsid w:val="00A7637B"/>
    <w:rsid w:val="00A76A1F"/>
    <w:rsid w:val="00A76D10"/>
    <w:rsid w:val="00A77406"/>
    <w:rsid w:val="00A7793B"/>
    <w:rsid w:val="00A80D30"/>
    <w:rsid w:val="00A81F53"/>
    <w:rsid w:val="00A83240"/>
    <w:rsid w:val="00A84A47"/>
    <w:rsid w:val="00A85029"/>
    <w:rsid w:val="00A851A9"/>
    <w:rsid w:val="00A879EC"/>
    <w:rsid w:val="00A92106"/>
    <w:rsid w:val="00A9627C"/>
    <w:rsid w:val="00A964BC"/>
    <w:rsid w:val="00A96A38"/>
    <w:rsid w:val="00AA09B2"/>
    <w:rsid w:val="00AA139D"/>
    <w:rsid w:val="00AA15EC"/>
    <w:rsid w:val="00AA1AA2"/>
    <w:rsid w:val="00AA2184"/>
    <w:rsid w:val="00AA48FB"/>
    <w:rsid w:val="00AA4CBF"/>
    <w:rsid w:val="00AA514F"/>
    <w:rsid w:val="00AA7A27"/>
    <w:rsid w:val="00AB0997"/>
    <w:rsid w:val="00AB152C"/>
    <w:rsid w:val="00AB1FBE"/>
    <w:rsid w:val="00AB2994"/>
    <w:rsid w:val="00AB3472"/>
    <w:rsid w:val="00AB3B53"/>
    <w:rsid w:val="00AB5187"/>
    <w:rsid w:val="00AB703B"/>
    <w:rsid w:val="00AC0B78"/>
    <w:rsid w:val="00AC1E95"/>
    <w:rsid w:val="00AC6D71"/>
    <w:rsid w:val="00AC7429"/>
    <w:rsid w:val="00AD0AF6"/>
    <w:rsid w:val="00AD1739"/>
    <w:rsid w:val="00AD1E81"/>
    <w:rsid w:val="00AD3B65"/>
    <w:rsid w:val="00AD3FEA"/>
    <w:rsid w:val="00AD4301"/>
    <w:rsid w:val="00AD5356"/>
    <w:rsid w:val="00AD7100"/>
    <w:rsid w:val="00AE26BA"/>
    <w:rsid w:val="00AE3126"/>
    <w:rsid w:val="00AE5284"/>
    <w:rsid w:val="00AE6C87"/>
    <w:rsid w:val="00AF329F"/>
    <w:rsid w:val="00AF4845"/>
    <w:rsid w:val="00AF4B7E"/>
    <w:rsid w:val="00AF6EF8"/>
    <w:rsid w:val="00B0020E"/>
    <w:rsid w:val="00B01C36"/>
    <w:rsid w:val="00B020C4"/>
    <w:rsid w:val="00B0321B"/>
    <w:rsid w:val="00B04883"/>
    <w:rsid w:val="00B04D28"/>
    <w:rsid w:val="00B06BC3"/>
    <w:rsid w:val="00B10174"/>
    <w:rsid w:val="00B10CFA"/>
    <w:rsid w:val="00B10E44"/>
    <w:rsid w:val="00B1223B"/>
    <w:rsid w:val="00B126C6"/>
    <w:rsid w:val="00B144D2"/>
    <w:rsid w:val="00B15AAE"/>
    <w:rsid w:val="00B15CE2"/>
    <w:rsid w:val="00B16365"/>
    <w:rsid w:val="00B16C26"/>
    <w:rsid w:val="00B1786C"/>
    <w:rsid w:val="00B207AC"/>
    <w:rsid w:val="00B23A31"/>
    <w:rsid w:val="00B24DD7"/>
    <w:rsid w:val="00B25C8C"/>
    <w:rsid w:val="00B266A6"/>
    <w:rsid w:val="00B30311"/>
    <w:rsid w:val="00B309A0"/>
    <w:rsid w:val="00B3235F"/>
    <w:rsid w:val="00B33B35"/>
    <w:rsid w:val="00B3465C"/>
    <w:rsid w:val="00B37B8F"/>
    <w:rsid w:val="00B37F65"/>
    <w:rsid w:val="00B403C8"/>
    <w:rsid w:val="00B419F3"/>
    <w:rsid w:val="00B437FC"/>
    <w:rsid w:val="00B43839"/>
    <w:rsid w:val="00B451D9"/>
    <w:rsid w:val="00B463A5"/>
    <w:rsid w:val="00B46E4E"/>
    <w:rsid w:val="00B477B2"/>
    <w:rsid w:val="00B50394"/>
    <w:rsid w:val="00B51AEA"/>
    <w:rsid w:val="00B51BD5"/>
    <w:rsid w:val="00B51E2E"/>
    <w:rsid w:val="00B5231C"/>
    <w:rsid w:val="00B52B42"/>
    <w:rsid w:val="00B532FA"/>
    <w:rsid w:val="00B53986"/>
    <w:rsid w:val="00B602E6"/>
    <w:rsid w:val="00B60301"/>
    <w:rsid w:val="00B60960"/>
    <w:rsid w:val="00B609A6"/>
    <w:rsid w:val="00B60D40"/>
    <w:rsid w:val="00B6231A"/>
    <w:rsid w:val="00B6786F"/>
    <w:rsid w:val="00B7077A"/>
    <w:rsid w:val="00B7079D"/>
    <w:rsid w:val="00B7098B"/>
    <w:rsid w:val="00B71063"/>
    <w:rsid w:val="00B71872"/>
    <w:rsid w:val="00B71A05"/>
    <w:rsid w:val="00B73291"/>
    <w:rsid w:val="00B736DB"/>
    <w:rsid w:val="00B748B4"/>
    <w:rsid w:val="00B74BB6"/>
    <w:rsid w:val="00B74E40"/>
    <w:rsid w:val="00B74EDF"/>
    <w:rsid w:val="00B7567A"/>
    <w:rsid w:val="00B75BE9"/>
    <w:rsid w:val="00B764A0"/>
    <w:rsid w:val="00B80368"/>
    <w:rsid w:val="00B8059B"/>
    <w:rsid w:val="00B80933"/>
    <w:rsid w:val="00B80E42"/>
    <w:rsid w:val="00B81B85"/>
    <w:rsid w:val="00B830CB"/>
    <w:rsid w:val="00B83216"/>
    <w:rsid w:val="00B835C0"/>
    <w:rsid w:val="00B83A64"/>
    <w:rsid w:val="00B86BFC"/>
    <w:rsid w:val="00B87996"/>
    <w:rsid w:val="00B87C39"/>
    <w:rsid w:val="00B9011A"/>
    <w:rsid w:val="00B90186"/>
    <w:rsid w:val="00B92947"/>
    <w:rsid w:val="00B93A66"/>
    <w:rsid w:val="00B97268"/>
    <w:rsid w:val="00BA13B5"/>
    <w:rsid w:val="00BA2401"/>
    <w:rsid w:val="00BA2408"/>
    <w:rsid w:val="00BA252C"/>
    <w:rsid w:val="00BA30A9"/>
    <w:rsid w:val="00BA3385"/>
    <w:rsid w:val="00BA4370"/>
    <w:rsid w:val="00BA5014"/>
    <w:rsid w:val="00BA6EA8"/>
    <w:rsid w:val="00BB030A"/>
    <w:rsid w:val="00BB054E"/>
    <w:rsid w:val="00BB1ACA"/>
    <w:rsid w:val="00BB251D"/>
    <w:rsid w:val="00BB2EFA"/>
    <w:rsid w:val="00BB4366"/>
    <w:rsid w:val="00BB78EE"/>
    <w:rsid w:val="00BB7E2F"/>
    <w:rsid w:val="00BC1CB1"/>
    <w:rsid w:val="00BC28E4"/>
    <w:rsid w:val="00BC38E5"/>
    <w:rsid w:val="00BC41F6"/>
    <w:rsid w:val="00BC42A0"/>
    <w:rsid w:val="00BC57AD"/>
    <w:rsid w:val="00BC61B0"/>
    <w:rsid w:val="00BC6528"/>
    <w:rsid w:val="00BC65CE"/>
    <w:rsid w:val="00BD03EC"/>
    <w:rsid w:val="00BD0EC0"/>
    <w:rsid w:val="00BD1D91"/>
    <w:rsid w:val="00BD22AE"/>
    <w:rsid w:val="00BD47E3"/>
    <w:rsid w:val="00BD5026"/>
    <w:rsid w:val="00BD5722"/>
    <w:rsid w:val="00BD58BF"/>
    <w:rsid w:val="00BD75E2"/>
    <w:rsid w:val="00BD76BD"/>
    <w:rsid w:val="00BD7F88"/>
    <w:rsid w:val="00BE0D69"/>
    <w:rsid w:val="00BE10D1"/>
    <w:rsid w:val="00BE27CF"/>
    <w:rsid w:val="00BE3990"/>
    <w:rsid w:val="00BE4651"/>
    <w:rsid w:val="00BE6820"/>
    <w:rsid w:val="00BF13F7"/>
    <w:rsid w:val="00BF1846"/>
    <w:rsid w:val="00BF2EB8"/>
    <w:rsid w:val="00BF37F0"/>
    <w:rsid w:val="00BF3C61"/>
    <w:rsid w:val="00BF4727"/>
    <w:rsid w:val="00BF4A9E"/>
    <w:rsid w:val="00BF55BA"/>
    <w:rsid w:val="00BF5FBD"/>
    <w:rsid w:val="00BF7A50"/>
    <w:rsid w:val="00BF7B90"/>
    <w:rsid w:val="00BF7F93"/>
    <w:rsid w:val="00C004BB"/>
    <w:rsid w:val="00C06ABF"/>
    <w:rsid w:val="00C06D5F"/>
    <w:rsid w:val="00C06D83"/>
    <w:rsid w:val="00C07340"/>
    <w:rsid w:val="00C11BAE"/>
    <w:rsid w:val="00C123C3"/>
    <w:rsid w:val="00C128A5"/>
    <w:rsid w:val="00C132A2"/>
    <w:rsid w:val="00C15389"/>
    <w:rsid w:val="00C15CDB"/>
    <w:rsid w:val="00C16AE1"/>
    <w:rsid w:val="00C179BF"/>
    <w:rsid w:val="00C20856"/>
    <w:rsid w:val="00C20F56"/>
    <w:rsid w:val="00C22BAC"/>
    <w:rsid w:val="00C22C88"/>
    <w:rsid w:val="00C22D46"/>
    <w:rsid w:val="00C23A79"/>
    <w:rsid w:val="00C24869"/>
    <w:rsid w:val="00C25030"/>
    <w:rsid w:val="00C250B2"/>
    <w:rsid w:val="00C25AE9"/>
    <w:rsid w:val="00C260CE"/>
    <w:rsid w:val="00C26610"/>
    <w:rsid w:val="00C26811"/>
    <w:rsid w:val="00C306B1"/>
    <w:rsid w:val="00C315F0"/>
    <w:rsid w:val="00C31752"/>
    <w:rsid w:val="00C34077"/>
    <w:rsid w:val="00C34146"/>
    <w:rsid w:val="00C35353"/>
    <w:rsid w:val="00C35616"/>
    <w:rsid w:val="00C37873"/>
    <w:rsid w:val="00C37C40"/>
    <w:rsid w:val="00C416D2"/>
    <w:rsid w:val="00C43683"/>
    <w:rsid w:val="00C4415E"/>
    <w:rsid w:val="00C441D2"/>
    <w:rsid w:val="00C467B0"/>
    <w:rsid w:val="00C467BE"/>
    <w:rsid w:val="00C47D93"/>
    <w:rsid w:val="00C50DD4"/>
    <w:rsid w:val="00C51391"/>
    <w:rsid w:val="00C5196B"/>
    <w:rsid w:val="00C51AE2"/>
    <w:rsid w:val="00C52027"/>
    <w:rsid w:val="00C54494"/>
    <w:rsid w:val="00C5564A"/>
    <w:rsid w:val="00C559F3"/>
    <w:rsid w:val="00C56D3B"/>
    <w:rsid w:val="00C6072B"/>
    <w:rsid w:val="00C61757"/>
    <w:rsid w:val="00C61F97"/>
    <w:rsid w:val="00C621EB"/>
    <w:rsid w:val="00C646F7"/>
    <w:rsid w:val="00C65231"/>
    <w:rsid w:val="00C70088"/>
    <w:rsid w:val="00C7011A"/>
    <w:rsid w:val="00C708A9"/>
    <w:rsid w:val="00C7165B"/>
    <w:rsid w:val="00C71731"/>
    <w:rsid w:val="00C745D6"/>
    <w:rsid w:val="00C74F32"/>
    <w:rsid w:val="00C75887"/>
    <w:rsid w:val="00C75CE3"/>
    <w:rsid w:val="00C75D7F"/>
    <w:rsid w:val="00C771AE"/>
    <w:rsid w:val="00C77A7A"/>
    <w:rsid w:val="00C811C8"/>
    <w:rsid w:val="00C8158D"/>
    <w:rsid w:val="00C81C8D"/>
    <w:rsid w:val="00C827A2"/>
    <w:rsid w:val="00C838B3"/>
    <w:rsid w:val="00C841CC"/>
    <w:rsid w:val="00C841FC"/>
    <w:rsid w:val="00C85011"/>
    <w:rsid w:val="00C86F31"/>
    <w:rsid w:val="00C87736"/>
    <w:rsid w:val="00C92818"/>
    <w:rsid w:val="00C94132"/>
    <w:rsid w:val="00C94455"/>
    <w:rsid w:val="00C96CD4"/>
    <w:rsid w:val="00C97BD5"/>
    <w:rsid w:val="00C97CF0"/>
    <w:rsid w:val="00CA1EC7"/>
    <w:rsid w:val="00CA278B"/>
    <w:rsid w:val="00CA34EA"/>
    <w:rsid w:val="00CA547A"/>
    <w:rsid w:val="00CA64B2"/>
    <w:rsid w:val="00CA70D8"/>
    <w:rsid w:val="00CB20F0"/>
    <w:rsid w:val="00CB414E"/>
    <w:rsid w:val="00CB4B12"/>
    <w:rsid w:val="00CB507B"/>
    <w:rsid w:val="00CB5201"/>
    <w:rsid w:val="00CB5E8C"/>
    <w:rsid w:val="00CB6049"/>
    <w:rsid w:val="00CB6AF2"/>
    <w:rsid w:val="00CB746A"/>
    <w:rsid w:val="00CB7803"/>
    <w:rsid w:val="00CC0256"/>
    <w:rsid w:val="00CC0566"/>
    <w:rsid w:val="00CC05E0"/>
    <w:rsid w:val="00CC09D3"/>
    <w:rsid w:val="00CC116F"/>
    <w:rsid w:val="00CC171C"/>
    <w:rsid w:val="00CC2171"/>
    <w:rsid w:val="00CC2E7F"/>
    <w:rsid w:val="00CC3821"/>
    <w:rsid w:val="00CC5036"/>
    <w:rsid w:val="00CC5890"/>
    <w:rsid w:val="00CC75BD"/>
    <w:rsid w:val="00CC7849"/>
    <w:rsid w:val="00CD0773"/>
    <w:rsid w:val="00CD3058"/>
    <w:rsid w:val="00CD3093"/>
    <w:rsid w:val="00CD32DC"/>
    <w:rsid w:val="00CD41A6"/>
    <w:rsid w:val="00CD5E60"/>
    <w:rsid w:val="00CE074E"/>
    <w:rsid w:val="00CE1ED7"/>
    <w:rsid w:val="00CE1F8A"/>
    <w:rsid w:val="00CE21EC"/>
    <w:rsid w:val="00CE2DFA"/>
    <w:rsid w:val="00CE3EBA"/>
    <w:rsid w:val="00CE4217"/>
    <w:rsid w:val="00CE44F4"/>
    <w:rsid w:val="00CE52C4"/>
    <w:rsid w:val="00CE5A68"/>
    <w:rsid w:val="00CE666C"/>
    <w:rsid w:val="00CE6910"/>
    <w:rsid w:val="00CE70B6"/>
    <w:rsid w:val="00CF0CB1"/>
    <w:rsid w:val="00CF1952"/>
    <w:rsid w:val="00CF1A6D"/>
    <w:rsid w:val="00CF2956"/>
    <w:rsid w:val="00CF2AA0"/>
    <w:rsid w:val="00CF374C"/>
    <w:rsid w:val="00CF5310"/>
    <w:rsid w:val="00CF7585"/>
    <w:rsid w:val="00D021A3"/>
    <w:rsid w:val="00D073F9"/>
    <w:rsid w:val="00D078C5"/>
    <w:rsid w:val="00D07FDC"/>
    <w:rsid w:val="00D11710"/>
    <w:rsid w:val="00D11C64"/>
    <w:rsid w:val="00D11DBE"/>
    <w:rsid w:val="00D12256"/>
    <w:rsid w:val="00D1298F"/>
    <w:rsid w:val="00D12F65"/>
    <w:rsid w:val="00D1375E"/>
    <w:rsid w:val="00D139A2"/>
    <w:rsid w:val="00D14BC9"/>
    <w:rsid w:val="00D14E2A"/>
    <w:rsid w:val="00D17874"/>
    <w:rsid w:val="00D179EF"/>
    <w:rsid w:val="00D17E33"/>
    <w:rsid w:val="00D20A80"/>
    <w:rsid w:val="00D220F2"/>
    <w:rsid w:val="00D22BFF"/>
    <w:rsid w:val="00D242B3"/>
    <w:rsid w:val="00D26DC0"/>
    <w:rsid w:val="00D3116D"/>
    <w:rsid w:val="00D3132F"/>
    <w:rsid w:val="00D31F53"/>
    <w:rsid w:val="00D322A5"/>
    <w:rsid w:val="00D336B5"/>
    <w:rsid w:val="00D35C2E"/>
    <w:rsid w:val="00D37E01"/>
    <w:rsid w:val="00D4100A"/>
    <w:rsid w:val="00D41F02"/>
    <w:rsid w:val="00D43185"/>
    <w:rsid w:val="00D432D7"/>
    <w:rsid w:val="00D44051"/>
    <w:rsid w:val="00D440C8"/>
    <w:rsid w:val="00D449E4"/>
    <w:rsid w:val="00D44B9D"/>
    <w:rsid w:val="00D44C50"/>
    <w:rsid w:val="00D457A7"/>
    <w:rsid w:val="00D45A8B"/>
    <w:rsid w:val="00D46C4A"/>
    <w:rsid w:val="00D46F52"/>
    <w:rsid w:val="00D47C7B"/>
    <w:rsid w:val="00D5047B"/>
    <w:rsid w:val="00D50805"/>
    <w:rsid w:val="00D5084F"/>
    <w:rsid w:val="00D50B9C"/>
    <w:rsid w:val="00D527F0"/>
    <w:rsid w:val="00D52AA4"/>
    <w:rsid w:val="00D53B9E"/>
    <w:rsid w:val="00D559F6"/>
    <w:rsid w:val="00D563F4"/>
    <w:rsid w:val="00D5681D"/>
    <w:rsid w:val="00D56D9E"/>
    <w:rsid w:val="00D57631"/>
    <w:rsid w:val="00D57C91"/>
    <w:rsid w:val="00D6014D"/>
    <w:rsid w:val="00D610B8"/>
    <w:rsid w:val="00D617FA"/>
    <w:rsid w:val="00D61840"/>
    <w:rsid w:val="00D6216B"/>
    <w:rsid w:val="00D62BAC"/>
    <w:rsid w:val="00D65126"/>
    <w:rsid w:val="00D65B96"/>
    <w:rsid w:val="00D661F3"/>
    <w:rsid w:val="00D67F2C"/>
    <w:rsid w:val="00D7103F"/>
    <w:rsid w:val="00D71121"/>
    <w:rsid w:val="00D72EB7"/>
    <w:rsid w:val="00D73483"/>
    <w:rsid w:val="00D749A5"/>
    <w:rsid w:val="00D749D9"/>
    <w:rsid w:val="00D7646A"/>
    <w:rsid w:val="00D805DF"/>
    <w:rsid w:val="00D80A71"/>
    <w:rsid w:val="00D81BC0"/>
    <w:rsid w:val="00D82639"/>
    <w:rsid w:val="00D83766"/>
    <w:rsid w:val="00D840A6"/>
    <w:rsid w:val="00D85BB5"/>
    <w:rsid w:val="00D860AB"/>
    <w:rsid w:val="00D862BD"/>
    <w:rsid w:val="00D87209"/>
    <w:rsid w:val="00D87AC1"/>
    <w:rsid w:val="00D90A40"/>
    <w:rsid w:val="00D91412"/>
    <w:rsid w:val="00D91F8D"/>
    <w:rsid w:val="00D93874"/>
    <w:rsid w:val="00D958B4"/>
    <w:rsid w:val="00D96C3F"/>
    <w:rsid w:val="00D9778B"/>
    <w:rsid w:val="00DA255A"/>
    <w:rsid w:val="00DA2850"/>
    <w:rsid w:val="00DA4E49"/>
    <w:rsid w:val="00DA5ED8"/>
    <w:rsid w:val="00DA60A7"/>
    <w:rsid w:val="00DA68F6"/>
    <w:rsid w:val="00DA710E"/>
    <w:rsid w:val="00DB030E"/>
    <w:rsid w:val="00DB0DE6"/>
    <w:rsid w:val="00DB2B37"/>
    <w:rsid w:val="00DB35B0"/>
    <w:rsid w:val="00DB3629"/>
    <w:rsid w:val="00DB418E"/>
    <w:rsid w:val="00DB556C"/>
    <w:rsid w:val="00DB5DE8"/>
    <w:rsid w:val="00DB65E8"/>
    <w:rsid w:val="00DC0249"/>
    <w:rsid w:val="00DC3AE6"/>
    <w:rsid w:val="00DC49D5"/>
    <w:rsid w:val="00DC5468"/>
    <w:rsid w:val="00DC5F77"/>
    <w:rsid w:val="00DC6273"/>
    <w:rsid w:val="00DC6A8C"/>
    <w:rsid w:val="00DC6DE0"/>
    <w:rsid w:val="00DD0906"/>
    <w:rsid w:val="00DD0D99"/>
    <w:rsid w:val="00DD2F63"/>
    <w:rsid w:val="00DD5887"/>
    <w:rsid w:val="00DD646F"/>
    <w:rsid w:val="00DD6F2D"/>
    <w:rsid w:val="00DE0E3F"/>
    <w:rsid w:val="00DE17E1"/>
    <w:rsid w:val="00DE231D"/>
    <w:rsid w:val="00DE2478"/>
    <w:rsid w:val="00DE3450"/>
    <w:rsid w:val="00DE5107"/>
    <w:rsid w:val="00DE6FB1"/>
    <w:rsid w:val="00DE73FE"/>
    <w:rsid w:val="00DF0A46"/>
    <w:rsid w:val="00DF0C2A"/>
    <w:rsid w:val="00DF15A9"/>
    <w:rsid w:val="00DF1B9B"/>
    <w:rsid w:val="00DF1FBF"/>
    <w:rsid w:val="00DF37F3"/>
    <w:rsid w:val="00DF4172"/>
    <w:rsid w:val="00DF46A3"/>
    <w:rsid w:val="00DF4851"/>
    <w:rsid w:val="00DF4F27"/>
    <w:rsid w:val="00DF5D67"/>
    <w:rsid w:val="00DF607B"/>
    <w:rsid w:val="00DF6106"/>
    <w:rsid w:val="00DF7738"/>
    <w:rsid w:val="00DF7C81"/>
    <w:rsid w:val="00E0179D"/>
    <w:rsid w:val="00E01D8B"/>
    <w:rsid w:val="00E04159"/>
    <w:rsid w:val="00E047D1"/>
    <w:rsid w:val="00E0487F"/>
    <w:rsid w:val="00E06E4E"/>
    <w:rsid w:val="00E07808"/>
    <w:rsid w:val="00E07990"/>
    <w:rsid w:val="00E07C17"/>
    <w:rsid w:val="00E07F3F"/>
    <w:rsid w:val="00E10E78"/>
    <w:rsid w:val="00E11C38"/>
    <w:rsid w:val="00E1406C"/>
    <w:rsid w:val="00E150A7"/>
    <w:rsid w:val="00E16487"/>
    <w:rsid w:val="00E17293"/>
    <w:rsid w:val="00E2234C"/>
    <w:rsid w:val="00E243EB"/>
    <w:rsid w:val="00E24AC8"/>
    <w:rsid w:val="00E24C93"/>
    <w:rsid w:val="00E25869"/>
    <w:rsid w:val="00E27713"/>
    <w:rsid w:val="00E27CC1"/>
    <w:rsid w:val="00E30A03"/>
    <w:rsid w:val="00E30F3C"/>
    <w:rsid w:val="00E31CDE"/>
    <w:rsid w:val="00E32D38"/>
    <w:rsid w:val="00E32DDD"/>
    <w:rsid w:val="00E33415"/>
    <w:rsid w:val="00E35EF3"/>
    <w:rsid w:val="00E36AFB"/>
    <w:rsid w:val="00E403E8"/>
    <w:rsid w:val="00E453DF"/>
    <w:rsid w:val="00E4668C"/>
    <w:rsid w:val="00E46CED"/>
    <w:rsid w:val="00E46D40"/>
    <w:rsid w:val="00E47C9A"/>
    <w:rsid w:val="00E505C1"/>
    <w:rsid w:val="00E50B74"/>
    <w:rsid w:val="00E51ADD"/>
    <w:rsid w:val="00E5447F"/>
    <w:rsid w:val="00E54763"/>
    <w:rsid w:val="00E57C34"/>
    <w:rsid w:val="00E60848"/>
    <w:rsid w:val="00E6240B"/>
    <w:rsid w:val="00E63799"/>
    <w:rsid w:val="00E63928"/>
    <w:rsid w:val="00E64472"/>
    <w:rsid w:val="00E6460D"/>
    <w:rsid w:val="00E646E7"/>
    <w:rsid w:val="00E656D4"/>
    <w:rsid w:val="00E65F22"/>
    <w:rsid w:val="00E6625E"/>
    <w:rsid w:val="00E66348"/>
    <w:rsid w:val="00E67691"/>
    <w:rsid w:val="00E712A0"/>
    <w:rsid w:val="00E71B8C"/>
    <w:rsid w:val="00E71D21"/>
    <w:rsid w:val="00E72E1B"/>
    <w:rsid w:val="00E74E4F"/>
    <w:rsid w:val="00E80CC8"/>
    <w:rsid w:val="00E81ABB"/>
    <w:rsid w:val="00E822BE"/>
    <w:rsid w:val="00E827DA"/>
    <w:rsid w:val="00E834AD"/>
    <w:rsid w:val="00E84864"/>
    <w:rsid w:val="00E852E9"/>
    <w:rsid w:val="00E85673"/>
    <w:rsid w:val="00E8648D"/>
    <w:rsid w:val="00E90655"/>
    <w:rsid w:val="00E94641"/>
    <w:rsid w:val="00E95657"/>
    <w:rsid w:val="00E96D97"/>
    <w:rsid w:val="00E97FAF"/>
    <w:rsid w:val="00EA02E2"/>
    <w:rsid w:val="00EA20F8"/>
    <w:rsid w:val="00EA2603"/>
    <w:rsid w:val="00EA349C"/>
    <w:rsid w:val="00EA3529"/>
    <w:rsid w:val="00EA383F"/>
    <w:rsid w:val="00EA3E80"/>
    <w:rsid w:val="00EA70CC"/>
    <w:rsid w:val="00EA758F"/>
    <w:rsid w:val="00EB12FE"/>
    <w:rsid w:val="00EB2C87"/>
    <w:rsid w:val="00EB3CC4"/>
    <w:rsid w:val="00EB5014"/>
    <w:rsid w:val="00EB52E5"/>
    <w:rsid w:val="00EB6B4B"/>
    <w:rsid w:val="00EC09C4"/>
    <w:rsid w:val="00EC0A2B"/>
    <w:rsid w:val="00EC1485"/>
    <w:rsid w:val="00EC1738"/>
    <w:rsid w:val="00EC4450"/>
    <w:rsid w:val="00EC5003"/>
    <w:rsid w:val="00EC6440"/>
    <w:rsid w:val="00EC6B9F"/>
    <w:rsid w:val="00EC6DB9"/>
    <w:rsid w:val="00EC741A"/>
    <w:rsid w:val="00ED186F"/>
    <w:rsid w:val="00ED1DD9"/>
    <w:rsid w:val="00ED2514"/>
    <w:rsid w:val="00ED2A3C"/>
    <w:rsid w:val="00ED3AD8"/>
    <w:rsid w:val="00ED7167"/>
    <w:rsid w:val="00ED7D63"/>
    <w:rsid w:val="00EE0A92"/>
    <w:rsid w:val="00EE15A6"/>
    <w:rsid w:val="00EE3355"/>
    <w:rsid w:val="00EE40B6"/>
    <w:rsid w:val="00EE5CA2"/>
    <w:rsid w:val="00EE72F4"/>
    <w:rsid w:val="00EE7FB7"/>
    <w:rsid w:val="00EF070D"/>
    <w:rsid w:val="00EF08C3"/>
    <w:rsid w:val="00EF0A69"/>
    <w:rsid w:val="00EF19CD"/>
    <w:rsid w:val="00EF42A3"/>
    <w:rsid w:val="00EF4A5A"/>
    <w:rsid w:val="00EF4C6B"/>
    <w:rsid w:val="00EF5C88"/>
    <w:rsid w:val="00EF666C"/>
    <w:rsid w:val="00EF6F3F"/>
    <w:rsid w:val="00EF7687"/>
    <w:rsid w:val="00F02958"/>
    <w:rsid w:val="00F02B98"/>
    <w:rsid w:val="00F03437"/>
    <w:rsid w:val="00F0439F"/>
    <w:rsid w:val="00F0508E"/>
    <w:rsid w:val="00F06596"/>
    <w:rsid w:val="00F0661A"/>
    <w:rsid w:val="00F0678A"/>
    <w:rsid w:val="00F0729D"/>
    <w:rsid w:val="00F075F5"/>
    <w:rsid w:val="00F118C4"/>
    <w:rsid w:val="00F11C58"/>
    <w:rsid w:val="00F1359F"/>
    <w:rsid w:val="00F13C0A"/>
    <w:rsid w:val="00F14899"/>
    <w:rsid w:val="00F15D2C"/>
    <w:rsid w:val="00F16046"/>
    <w:rsid w:val="00F166E1"/>
    <w:rsid w:val="00F16B21"/>
    <w:rsid w:val="00F201D8"/>
    <w:rsid w:val="00F2038E"/>
    <w:rsid w:val="00F2062B"/>
    <w:rsid w:val="00F20D4D"/>
    <w:rsid w:val="00F20F52"/>
    <w:rsid w:val="00F23FBC"/>
    <w:rsid w:val="00F2483B"/>
    <w:rsid w:val="00F2642C"/>
    <w:rsid w:val="00F30AAC"/>
    <w:rsid w:val="00F34E50"/>
    <w:rsid w:val="00F35922"/>
    <w:rsid w:val="00F3629A"/>
    <w:rsid w:val="00F36FB3"/>
    <w:rsid w:val="00F371D2"/>
    <w:rsid w:val="00F375D7"/>
    <w:rsid w:val="00F37E57"/>
    <w:rsid w:val="00F40280"/>
    <w:rsid w:val="00F40B4D"/>
    <w:rsid w:val="00F41397"/>
    <w:rsid w:val="00F417F3"/>
    <w:rsid w:val="00F41C3D"/>
    <w:rsid w:val="00F42BD3"/>
    <w:rsid w:val="00F43804"/>
    <w:rsid w:val="00F443A3"/>
    <w:rsid w:val="00F44621"/>
    <w:rsid w:val="00F45018"/>
    <w:rsid w:val="00F456FC"/>
    <w:rsid w:val="00F45C7A"/>
    <w:rsid w:val="00F47405"/>
    <w:rsid w:val="00F4783D"/>
    <w:rsid w:val="00F47E92"/>
    <w:rsid w:val="00F50FFA"/>
    <w:rsid w:val="00F520F0"/>
    <w:rsid w:val="00F5233A"/>
    <w:rsid w:val="00F52F19"/>
    <w:rsid w:val="00F55927"/>
    <w:rsid w:val="00F565CB"/>
    <w:rsid w:val="00F6197C"/>
    <w:rsid w:val="00F62E01"/>
    <w:rsid w:val="00F63593"/>
    <w:rsid w:val="00F63634"/>
    <w:rsid w:val="00F63BC1"/>
    <w:rsid w:val="00F63D60"/>
    <w:rsid w:val="00F63DE4"/>
    <w:rsid w:val="00F67674"/>
    <w:rsid w:val="00F67D35"/>
    <w:rsid w:val="00F67E39"/>
    <w:rsid w:val="00F70770"/>
    <w:rsid w:val="00F725A8"/>
    <w:rsid w:val="00F7277F"/>
    <w:rsid w:val="00F74528"/>
    <w:rsid w:val="00F74FB9"/>
    <w:rsid w:val="00F75744"/>
    <w:rsid w:val="00F76036"/>
    <w:rsid w:val="00F768A3"/>
    <w:rsid w:val="00F8096F"/>
    <w:rsid w:val="00F83C78"/>
    <w:rsid w:val="00F84250"/>
    <w:rsid w:val="00F845C3"/>
    <w:rsid w:val="00F84E3E"/>
    <w:rsid w:val="00F87BBE"/>
    <w:rsid w:val="00F90230"/>
    <w:rsid w:val="00F91599"/>
    <w:rsid w:val="00F917EA"/>
    <w:rsid w:val="00F91A4C"/>
    <w:rsid w:val="00F926B4"/>
    <w:rsid w:val="00F933C7"/>
    <w:rsid w:val="00F9357B"/>
    <w:rsid w:val="00F93F5F"/>
    <w:rsid w:val="00F941B9"/>
    <w:rsid w:val="00F94900"/>
    <w:rsid w:val="00F95995"/>
    <w:rsid w:val="00F96BDC"/>
    <w:rsid w:val="00F96FFC"/>
    <w:rsid w:val="00F9702A"/>
    <w:rsid w:val="00F976F3"/>
    <w:rsid w:val="00FA0367"/>
    <w:rsid w:val="00FA108F"/>
    <w:rsid w:val="00FA1474"/>
    <w:rsid w:val="00FA2AB8"/>
    <w:rsid w:val="00FA3816"/>
    <w:rsid w:val="00FA542C"/>
    <w:rsid w:val="00FB23AA"/>
    <w:rsid w:val="00FB38AC"/>
    <w:rsid w:val="00FB3EA4"/>
    <w:rsid w:val="00FB43FE"/>
    <w:rsid w:val="00FB4AC2"/>
    <w:rsid w:val="00FB625A"/>
    <w:rsid w:val="00FC0C26"/>
    <w:rsid w:val="00FC1B4D"/>
    <w:rsid w:val="00FC254C"/>
    <w:rsid w:val="00FC46CD"/>
    <w:rsid w:val="00FC50CD"/>
    <w:rsid w:val="00FC6372"/>
    <w:rsid w:val="00FD20E6"/>
    <w:rsid w:val="00FD2601"/>
    <w:rsid w:val="00FD2F23"/>
    <w:rsid w:val="00FD3CD7"/>
    <w:rsid w:val="00FD4969"/>
    <w:rsid w:val="00FD5A26"/>
    <w:rsid w:val="00FD5BE9"/>
    <w:rsid w:val="00FD650C"/>
    <w:rsid w:val="00FD6930"/>
    <w:rsid w:val="00FD6F26"/>
    <w:rsid w:val="00FE0676"/>
    <w:rsid w:val="00FE0A6F"/>
    <w:rsid w:val="00FE275C"/>
    <w:rsid w:val="00FE2AA3"/>
    <w:rsid w:val="00FE3268"/>
    <w:rsid w:val="00FE3EBD"/>
    <w:rsid w:val="00FE4D57"/>
    <w:rsid w:val="00FE781D"/>
    <w:rsid w:val="00FE7B30"/>
    <w:rsid w:val="00FF017B"/>
    <w:rsid w:val="00FF03A0"/>
    <w:rsid w:val="00FF266F"/>
    <w:rsid w:val="00FF28C0"/>
    <w:rsid w:val="00FF311E"/>
    <w:rsid w:val="00FF5982"/>
    <w:rsid w:val="00FF7294"/>
    <w:rsid w:val="00FF734A"/>
    <w:rsid w:val="4BB66EBE"/>
    <w:rsid w:val="58010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E88E0EC"/>
  <w15:docId w15:val="{37762564-B6C1-40DA-BB6E-C4B33325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0CC"/>
    <w:pPr>
      <w:widowControl w:val="0"/>
      <w:ind w:firstLineChars="200" w:firstLine="200"/>
      <w:jc w:val="both"/>
    </w:pPr>
    <w:rPr>
      <w:rFonts w:ascii="Times New Roman" w:eastAsia="Times New Roman" w:hAnsi="Times New Roman"/>
      <w:kern w:val="2"/>
      <w:sz w:val="24"/>
      <w:szCs w:val="22"/>
    </w:rPr>
  </w:style>
  <w:style w:type="paragraph" w:styleId="Heading1">
    <w:name w:val="heading 1"/>
    <w:basedOn w:val="Normal"/>
    <w:next w:val="Normal"/>
    <w:link w:val="Heading1Char"/>
    <w:uiPriority w:val="9"/>
    <w:qFormat/>
    <w:rsid w:val="00475B67"/>
    <w:pPr>
      <w:keepNext/>
      <w:keepLines/>
      <w:spacing w:before="340" w:after="330"/>
      <w:outlineLvl w:val="0"/>
    </w:pPr>
    <w:rPr>
      <w:b/>
      <w:bCs/>
      <w:kern w:val="44"/>
      <w:szCs w:val="44"/>
    </w:rPr>
  </w:style>
  <w:style w:type="paragraph" w:styleId="Heading2">
    <w:name w:val="heading 2"/>
    <w:basedOn w:val="Normal"/>
    <w:next w:val="Normal"/>
    <w:link w:val="Heading2Char"/>
    <w:uiPriority w:val="9"/>
    <w:unhideWhenUsed/>
    <w:qFormat/>
    <w:rsid w:val="00F066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F0661A"/>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F9023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unhideWhenUsed/>
    <w:qFormat/>
    <w:rsid w:val="00F90230"/>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jc w:val="left"/>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link w:val="FootnoteTextChar"/>
    <w:uiPriority w:val="99"/>
    <w:semiHidden/>
    <w:unhideWhenUsed/>
    <w:qFormat/>
    <w:pPr>
      <w:snapToGrid w:val="0"/>
      <w:jc w:val="left"/>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34"/>
    <w:qFormat/>
    <w:pPr>
      <w:ind w:firstLine="420"/>
    </w:pPr>
  </w:style>
  <w:style w:type="character" w:customStyle="1" w:styleId="FootnoteTextChar">
    <w:name w:val="Footnote Text Char"/>
    <w:basedOn w:val="DefaultParagraphFont"/>
    <w:link w:val="FootnoteText"/>
    <w:uiPriority w:val="99"/>
    <w:semiHidden/>
    <w:qFormat/>
    <w:rPr>
      <w:sz w:val="18"/>
      <w:szCs w:val="18"/>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10">
    <w:name w:val="修订1"/>
    <w:hidden/>
    <w:uiPriority w:val="99"/>
    <w:semiHidden/>
    <w:qFormat/>
    <w:rPr>
      <w:kern w:val="2"/>
      <w:sz w:val="21"/>
      <w:szCs w:val="22"/>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
    <w:name w:val="无格式表格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EC6B9F"/>
    <w:rPr>
      <w:kern w:val="2"/>
      <w:sz w:val="21"/>
      <w:szCs w:val="22"/>
    </w:rPr>
  </w:style>
  <w:style w:type="paragraph" w:styleId="NormalWeb">
    <w:name w:val="Normal (Web)"/>
    <w:basedOn w:val="Normal"/>
    <w:uiPriority w:val="99"/>
    <w:semiHidden/>
    <w:unhideWhenUsed/>
    <w:rsid w:val="00904481"/>
    <w:pPr>
      <w:widowControl/>
      <w:spacing w:before="100" w:beforeAutospacing="1" w:after="100" w:afterAutospacing="1"/>
      <w:jc w:val="left"/>
    </w:pPr>
    <w:rPr>
      <w:rFonts w:ascii="SimSun" w:eastAsia="SimSun" w:hAnsi="SimSun" w:cs="SimSun"/>
      <w:kern w:val="0"/>
      <w:szCs w:val="24"/>
    </w:rPr>
  </w:style>
  <w:style w:type="character" w:styleId="Strong">
    <w:name w:val="Strong"/>
    <w:basedOn w:val="DefaultParagraphFont"/>
    <w:uiPriority w:val="22"/>
    <w:qFormat/>
    <w:rsid w:val="00904481"/>
    <w:rPr>
      <w:b/>
      <w:bCs/>
    </w:rPr>
  </w:style>
  <w:style w:type="character" w:styleId="Emphasis">
    <w:name w:val="Emphasis"/>
    <w:basedOn w:val="DefaultParagraphFont"/>
    <w:uiPriority w:val="20"/>
    <w:qFormat/>
    <w:rsid w:val="00904481"/>
    <w:rPr>
      <w:i/>
      <w:iCs/>
    </w:rPr>
  </w:style>
  <w:style w:type="character" w:customStyle="1" w:styleId="Heading1Char">
    <w:name w:val="Heading 1 Char"/>
    <w:basedOn w:val="DefaultParagraphFont"/>
    <w:link w:val="Heading1"/>
    <w:uiPriority w:val="9"/>
    <w:rsid w:val="00475B67"/>
    <w:rPr>
      <w:rFonts w:ascii="Times New Roman" w:eastAsia="Times New Roman" w:hAnsi="Times New Roman"/>
      <w:b/>
      <w:bCs/>
      <w:kern w:val="44"/>
      <w:sz w:val="24"/>
      <w:szCs w:val="44"/>
    </w:rPr>
  </w:style>
  <w:style w:type="paragraph" w:styleId="Subtitle">
    <w:name w:val="Subtitle"/>
    <w:basedOn w:val="Normal"/>
    <w:next w:val="Normal"/>
    <w:link w:val="SubtitleChar"/>
    <w:uiPriority w:val="11"/>
    <w:qFormat/>
    <w:rsid w:val="005A0304"/>
    <w:pPr>
      <w:outlineLvl w:val="1"/>
    </w:pPr>
    <w:rPr>
      <w:rFonts w:eastAsiaTheme="minorEastAsia"/>
      <w:bCs/>
      <w:i/>
      <w:kern w:val="28"/>
      <w:szCs w:val="32"/>
    </w:rPr>
  </w:style>
  <w:style w:type="character" w:customStyle="1" w:styleId="SubtitleChar">
    <w:name w:val="Subtitle Char"/>
    <w:basedOn w:val="DefaultParagraphFont"/>
    <w:link w:val="Subtitle"/>
    <w:uiPriority w:val="11"/>
    <w:rsid w:val="005A0304"/>
    <w:rPr>
      <w:rFonts w:ascii="Times New Roman" w:hAnsi="Times New Roman"/>
      <w:bCs/>
      <w:i/>
      <w:kern w:val="28"/>
      <w:sz w:val="24"/>
      <w:szCs w:val="32"/>
    </w:rPr>
  </w:style>
  <w:style w:type="character" w:customStyle="1" w:styleId="Heading2Char">
    <w:name w:val="Heading 2 Char"/>
    <w:basedOn w:val="DefaultParagraphFont"/>
    <w:link w:val="Heading2"/>
    <w:uiPriority w:val="9"/>
    <w:rsid w:val="00F0661A"/>
    <w:rPr>
      <w:rFonts w:asciiTheme="majorHAnsi" w:eastAsiaTheme="majorEastAsia" w:hAnsiTheme="majorHAnsi" w:cstheme="majorBidi"/>
      <w:b/>
      <w:bCs/>
      <w:kern w:val="2"/>
      <w:sz w:val="32"/>
      <w:szCs w:val="32"/>
    </w:rPr>
  </w:style>
  <w:style w:type="character" w:customStyle="1" w:styleId="Heading3Char">
    <w:name w:val="Heading 3 Char"/>
    <w:basedOn w:val="DefaultParagraphFont"/>
    <w:link w:val="Heading3"/>
    <w:uiPriority w:val="9"/>
    <w:rsid w:val="00F0661A"/>
    <w:rPr>
      <w:rFonts w:ascii="Times New Roman" w:eastAsia="Times New Roman" w:hAnsi="Times New Roman"/>
      <w:b/>
      <w:bCs/>
      <w:kern w:val="2"/>
      <w:sz w:val="32"/>
      <w:szCs w:val="32"/>
    </w:rPr>
  </w:style>
  <w:style w:type="character" w:customStyle="1" w:styleId="Heading4Char">
    <w:name w:val="Heading 4 Char"/>
    <w:basedOn w:val="DefaultParagraphFont"/>
    <w:link w:val="Heading4"/>
    <w:uiPriority w:val="9"/>
    <w:rsid w:val="00F90230"/>
    <w:rPr>
      <w:rFonts w:asciiTheme="majorHAnsi" w:eastAsiaTheme="majorEastAsia" w:hAnsiTheme="majorHAnsi" w:cstheme="majorBidi"/>
      <w:b/>
      <w:bCs/>
      <w:kern w:val="2"/>
      <w:sz w:val="28"/>
      <w:szCs w:val="28"/>
    </w:rPr>
  </w:style>
  <w:style w:type="paragraph" w:styleId="Title">
    <w:name w:val="Title"/>
    <w:basedOn w:val="Normal"/>
    <w:next w:val="Normal"/>
    <w:link w:val="TitleChar"/>
    <w:uiPriority w:val="10"/>
    <w:qFormat/>
    <w:rsid w:val="00BD75E2"/>
    <w:pPr>
      <w:spacing w:before="240" w:after="60"/>
      <w:ind w:firstLineChars="0" w:firstLine="0"/>
      <w:jc w:val="left"/>
      <w:outlineLvl w:val="0"/>
    </w:pPr>
    <w:rPr>
      <w:rFonts w:eastAsiaTheme="majorEastAsia" w:cstheme="majorBidi"/>
      <w:b/>
      <w:bCs/>
      <w:szCs w:val="32"/>
    </w:rPr>
  </w:style>
  <w:style w:type="character" w:customStyle="1" w:styleId="TitleChar">
    <w:name w:val="Title Char"/>
    <w:basedOn w:val="DefaultParagraphFont"/>
    <w:link w:val="Title"/>
    <w:uiPriority w:val="10"/>
    <w:rsid w:val="00BD75E2"/>
    <w:rPr>
      <w:rFonts w:ascii="Times New Roman" w:eastAsiaTheme="majorEastAsia" w:hAnsi="Times New Roman" w:cstheme="majorBidi"/>
      <w:b/>
      <w:bCs/>
      <w:kern w:val="2"/>
      <w:sz w:val="24"/>
      <w:szCs w:val="32"/>
    </w:rPr>
  </w:style>
  <w:style w:type="character" w:customStyle="1" w:styleId="Heading5Char">
    <w:name w:val="Heading 5 Char"/>
    <w:basedOn w:val="DefaultParagraphFont"/>
    <w:link w:val="Heading5"/>
    <w:uiPriority w:val="9"/>
    <w:rsid w:val="00F90230"/>
    <w:rPr>
      <w:rFonts w:ascii="Times New Roman" w:eastAsia="Times New Roman" w:hAnsi="Times New Roman"/>
      <w:b/>
      <w:bCs/>
      <w:kern w:val="2"/>
      <w:sz w:val="28"/>
      <w:szCs w:val="28"/>
    </w:rPr>
  </w:style>
  <w:style w:type="character" w:styleId="LineNumber">
    <w:name w:val="line number"/>
    <w:basedOn w:val="DefaultParagraphFont"/>
    <w:uiPriority w:val="99"/>
    <w:semiHidden/>
    <w:unhideWhenUsed/>
    <w:rsid w:val="00BF2EB8"/>
  </w:style>
  <w:style w:type="character" w:styleId="EndnoteReference">
    <w:name w:val="endnote reference"/>
    <w:basedOn w:val="DefaultParagraphFont"/>
    <w:uiPriority w:val="99"/>
    <w:semiHidden/>
    <w:unhideWhenUsed/>
    <w:rsid w:val="003B1EB0"/>
    <w:rPr>
      <w:vertAlign w:val="superscript"/>
    </w:rPr>
  </w:style>
  <w:style w:type="paragraph" w:styleId="NoSpacing">
    <w:name w:val="No Spacing"/>
    <w:uiPriority w:val="1"/>
    <w:qFormat/>
    <w:rsid w:val="00792164"/>
    <w:rPr>
      <w:rFonts w:eastAsia="SimSun"/>
      <w:sz w:val="22"/>
      <w:szCs w:val="22"/>
      <w:lang w:eastAsia="en-US"/>
    </w:rPr>
  </w:style>
  <w:style w:type="paragraph" w:customStyle="1" w:styleId="MDPI14history">
    <w:name w:val="MDPI_1.4_history"/>
    <w:basedOn w:val="Normal"/>
    <w:next w:val="Normal"/>
    <w:qFormat/>
    <w:rsid w:val="00792164"/>
    <w:pPr>
      <w:widowControl/>
      <w:adjustRightInd w:val="0"/>
      <w:snapToGrid w:val="0"/>
      <w:spacing w:before="120" w:line="200" w:lineRule="atLeast"/>
      <w:ind w:left="113" w:firstLineChars="0" w:firstLine="0"/>
      <w:jc w:val="left"/>
    </w:pPr>
    <w:rPr>
      <w:rFonts w:ascii="Palatino Linotype" w:hAnsi="Palatino Linotype" w:cs="Times New Roman"/>
      <w:color w:val="000000"/>
      <w:kern w:val="0"/>
      <w:sz w:val="18"/>
      <w:szCs w:val="20"/>
      <w:lang w:eastAsia="de-DE" w:bidi="en-US"/>
    </w:rPr>
  </w:style>
  <w:style w:type="paragraph" w:customStyle="1" w:styleId="MDPI16affiliation">
    <w:name w:val="MDPI_1.6_affiliation"/>
    <w:basedOn w:val="Normal"/>
    <w:qFormat/>
    <w:rsid w:val="00792164"/>
    <w:pPr>
      <w:widowControl/>
      <w:adjustRightInd w:val="0"/>
      <w:snapToGrid w:val="0"/>
      <w:spacing w:line="200" w:lineRule="atLeast"/>
      <w:ind w:left="311" w:firstLineChars="0" w:hanging="198"/>
      <w:jc w:val="left"/>
    </w:pPr>
    <w:rPr>
      <w:rFonts w:ascii="Palatino Linotype" w:hAnsi="Palatino Linotype" w:cs="Times New Roman"/>
      <w:color w:val="000000"/>
      <w:kern w:val="0"/>
      <w:sz w:val="18"/>
      <w:szCs w:val="18"/>
      <w:lang w:eastAsia="de-DE" w:bidi="en-US"/>
    </w:rPr>
  </w:style>
  <w:style w:type="paragraph" w:customStyle="1" w:styleId="MDPI17abstract">
    <w:name w:val="MDPI_1.7_abstract"/>
    <w:basedOn w:val="Normal"/>
    <w:next w:val="MDPI18keywords"/>
    <w:qFormat/>
    <w:rsid w:val="00792164"/>
    <w:pPr>
      <w:widowControl/>
      <w:adjustRightInd w:val="0"/>
      <w:snapToGrid w:val="0"/>
      <w:spacing w:before="240" w:line="260" w:lineRule="atLeast"/>
      <w:ind w:left="113" w:firstLineChars="0" w:firstLine="0"/>
    </w:pPr>
    <w:rPr>
      <w:rFonts w:ascii="Palatino Linotype" w:hAnsi="Palatino Linotype" w:cs="Times New Roman"/>
      <w:color w:val="000000"/>
      <w:kern w:val="0"/>
      <w:sz w:val="20"/>
      <w:lang w:eastAsia="de-DE" w:bidi="en-US"/>
    </w:rPr>
  </w:style>
  <w:style w:type="paragraph" w:customStyle="1" w:styleId="MDPI18keywords">
    <w:name w:val="MDPI_1.8_keywords"/>
    <w:basedOn w:val="Normal"/>
    <w:next w:val="Normal"/>
    <w:qFormat/>
    <w:rsid w:val="00792164"/>
    <w:pPr>
      <w:widowControl/>
      <w:adjustRightInd w:val="0"/>
      <w:snapToGrid w:val="0"/>
      <w:spacing w:before="240" w:line="260" w:lineRule="atLeast"/>
      <w:ind w:left="113" w:firstLineChars="0" w:firstLine="0"/>
    </w:pPr>
    <w:rPr>
      <w:rFonts w:ascii="Palatino Linotype" w:hAnsi="Palatino Linotype" w:cs="Times New Roman"/>
      <w:snapToGrid w:val="0"/>
      <w:color w:val="000000"/>
      <w:kern w:val="0"/>
      <w:sz w:val="20"/>
      <w:lang w:eastAsia="de-DE" w:bidi="en-US"/>
    </w:rPr>
  </w:style>
  <w:style w:type="character" w:styleId="UnresolvedMention">
    <w:name w:val="Unresolved Mention"/>
    <w:basedOn w:val="DefaultParagraphFont"/>
    <w:uiPriority w:val="99"/>
    <w:semiHidden/>
    <w:unhideWhenUsed/>
    <w:rsid w:val="00792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98683">
      <w:bodyDiv w:val="1"/>
      <w:marLeft w:val="0"/>
      <w:marRight w:val="0"/>
      <w:marTop w:val="0"/>
      <w:marBottom w:val="0"/>
      <w:divBdr>
        <w:top w:val="none" w:sz="0" w:space="0" w:color="auto"/>
        <w:left w:val="none" w:sz="0" w:space="0" w:color="auto"/>
        <w:bottom w:val="none" w:sz="0" w:space="0" w:color="auto"/>
        <w:right w:val="none" w:sz="0" w:space="0" w:color="auto"/>
      </w:divBdr>
    </w:div>
    <w:div w:id="1677145314">
      <w:bodyDiv w:val="1"/>
      <w:marLeft w:val="0"/>
      <w:marRight w:val="0"/>
      <w:marTop w:val="0"/>
      <w:marBottom w:val="0"/>
      <w:divBdr>
        <w:top w:val="none" w:sz="0" w:space="0" w:color="auto"/>
        <w:left w:val="none" w:sz="0" w:space="0" w:color="auto"/>
        <w:bottom w:val="none" w:sz="0" w:space="0" w:color="auto"/>
        <w:right w:val="none" w:sz="0" w:space="0" w:color="auto"/>
      </w:divBdr>
    </w:div>
    <w:div w:id="2125490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agr.2186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wang010@ca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2308F-1A4A-4AA3-A6F8-940C5BAA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51089</Words>
  <Characters>280990</Characters>
  <Application>Microsoft Office Word</Application>
  <DocSecurity>4</DocSecurity>
  <Lines>2341</Lines>
  <Paragraphs>662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 Fuli</dc:creator>
  <cp:lastModifiedBy>Lieve Delaruelle</cp:lastModifiedBy>
  <cp:revision>2</cp:revision>
  <dcterms:created xsi:type="dcterms:W3CDTF">2023-11-21T13:22:00Z</dcterms:created>
  <dcterms:modified xsi:type="dcterms:W3CDTF">2023-11-21T13:22:00Z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http://www.zotero.org/styles/harvard-cite-them-right</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af48a1e3-3d33-3e0d-afe9-486c6c4719a9</vt:lpwstr>
  </property>
  <property fmtid="{D5CDD505-2E9C-101B-9397-08002B2CF9AE}" pid="25" name="KSOProductBuildVer">
    <vt:lpwstr>2052-11.1.0.12313</vt:lpwstr>
  </property>
  <property fmtid="{D5CDD505-2E9C-101B-9397-08002B2CF9AE}" pid="26" name="ICV">
    <vt:lpwstr>6E7EB3E549C04F9997385C4E851B3787</vt:lpwstr>
  </property>
  <property fmtid="{D5CDD505-2E9C-101B-9397-08002B2CF9AE}" pid="27" name="GrammarlyDocumentId">
    <vt:lpwstr>5be341de043470b0d28d50a6678d62df2563bb4b47da4d3976731036300376c3</vt:lpwstr>
  </property>
</Properties>
</file>